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5F" w:rsidRPr="00E922EF" w:rsidRDefault="002F3CB1" w:rsidP="00680EFA">
      <w:pPr>
        <w:spacing w:after="240" w:line="240" w:lineRule="auto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E922EF">
        <w:rPr>
          <w:b/>
          <w:sz w:val="28"/>
          <w:szCs w:val="28"/>
          <w:lang w:val="en-US"/>
        </w:rPr>
        <w:t xml:space="preserve">Tailoring crystallization in oxide glasses: Application to transparent </w:t>
      </w:r>
      <w:r w:rsidR="009E5ABA" w:rsidRPr="00E922EF">
        <w:rPr>
          <w:b/>
          <w:sz w:val="28"/>
          <w:szCs w:val="28"/>
          <w:lang w:val="en-US"/>
        </w:rPr>
        <w:t xml:space="preserve">polycrystalline ceramics </w:t>
      </w:r>
      <w:r w:rsidR="009E5ABA">
        <w:rPr>
          <w:b/>
          <w:sz w:val="28"/>
          <w:szCs w:val="28"/>
          <w:lang w:val="en-US"/>
        </w:rPr>
        <w:t>and nanostructured glass-ceramics</w:t>
      </w:r>
    </w:p>
    <w:p w:rsidR="0076070B" w:rsidRPr="00C31C60" w:rsidRDefault="0076070B" w:rsidP="00333738">
      <w:pPr>
        <w:spacing w:after="80" w:line="240" w:lineRule="auto"/>
        <w:jc w:val="center"/>
        <w:rPr>
          <w:sz w:val="18"/>
          <w:szCs w:val="18"/>
          <w:vertAlign w:val="superscript"/>
        </w:rPr>
      </w:pPr>
      <w:r w:rsidRPr="00C31C60">
        <w:rPr>
          <w:b/>
          <w:sz w:val="18"/>
          <w:szCs w:val="18"/>
          <w:u w:val="single"/>
        </w:rPr>
        <w:t>Mathieu Allix</w:t>
      </w:r>
      <w:r w:rsidR="00D65510" w:rsidRPr="00C31C60">
        <w:rPr>
          <w:b/>
          <w:sz w:val="18"/>
          <w:szCs w:val="18"/>
          <w:vertAlign w:val="superscript"/>
        </w:rPr>
        <w:t>1</w:t>
      </w:r>
      <w:r w:rsidRPr="00C31C60">
        <w:rPr>
          <w:sz w:val="18"/>
          <w:szCs w:val="18"/>
        </w:rPr>
        <w:t xml:space="preserve">, </w:t>
      </w:r>
      <w:r w:rsidR="00713795" w:rsidRPr="00C31C60">
        <w:rPr>
          <w:sz w:val="18"/>
          <w:szCs w:val="18"/>
        </w:rPr>
        <w:t>Cécile Genevois</w:t>
      </w:r>
      <w:r w:rsidR="00713795" w:rsidRPr="00C31C60">
        <w:rPr>
          <w:sz w:val="18"/>
          <w:szCs w:val="18"/>
          <w:vertAlign w:val="superscript"/>
        </w:rPr>
        <w:t>1</w:t>
      </w:r>
      <w:r w:rsidR="00713795" w:rsidRPr="00C31C60">
        <w:rPr>
          <w:sz w:val="18"/>
          <w:szCs w:val="18"/>
        </w:rPr>
        <w:t>, Emmanuel Véron</w:t>
      </w:r>
      <w:r w:rsidR="00713795" w:rsidRPr="00C31C60">
        <w:rPr>
          <w:sz w:val="18"/>
          <w:szCs w:val="18"/>
          <w:vertAlign w:val="superscript"/>
        </w:rPr>
        <w:t>1</w:t>
      </w:r>
      <w:r w:rsidR="00ED66C9">
        <w:rPr>
          <w:sz w:val="18"/>
          <w:szCs w:val="18"/>
        </w:rPr>
        <w:t xml:space="preserve"> and</w:t>
      </w:r>
      <w:r w:rsidR="00713795" w:rsidRPr="00C31C60">
        <w:rPr>
          <w:sz w:val="18"/>
          <w:szCs w:val="18"/>
        </w:rPr>
        <w:t xml:space="preserve"> </w:t>
      </w:r>
      <w:r w:rsidRPr="00C31C60">
        <w:rPr>
          <w:sz w:val="18"/>
          <w:szCs w:val="18"/>
        </w:rPr>
        <w:t>Franck Fayon</w:t>
      </w:r>
      <w:r w:rsidRPr="00C31C60">
        <w:rPr>
          <w:sz w:val="18"/>
          <w:szCs w:val="18"/>
          <w:vertAlign w:val="superscript"/>
        </w:rPr>
        <w:t>1</w:t>
      </w:r>
    </w:p>
    <w:p w:rsidR="005C2075" w:rsidRPr="00C31C60" w:rsidRDefault="00C31C60" w:rsidP="00C31C60">
      <w:pPr>
        <w:pStyle w:val="BCAuthorAddress"/>
        <w:spacing w:after="120" w:line="240" w:lineRule="auto"/>
        <w:rPr>
          <w:rFonts w:asciiTheme="minorHAnsi" w:hAnsiTheme="minorHAnsi"/>
          <w:sz w:val="18"/>
          <w:szCs w:val="18"/>
          <w:lang w:val="fr-FR"/>
        </w:rPr>
      </w:pPr>
      <w:r w:rsidRPr="00C31C60">
        <w:rPr>
          <w:rFonts w:asciiTheme="minorHAnsi" w:hAnsiTheme="minorHAnsi"/>
          <w:sz w:val="18"/>
          <w:szCs w:val="18"/>
          <w:vertAlign w:val="superscript"/>
          <w:lang w:val="fr-FR"/>
        </w:rPr>
        <w:t>1</w:t>
      </w:r>
      <w:r w:rsidRPr="00C31C60">
        <w:rPr>
          <w:rFonts w:asciiTheme="minorHAnsi" w:hAnsiTheme="minorHAnsi"/>
          <w:sz w:val="18"/>
          <w:szCs w:val="18"/>
          <w:lang w:val="fr-FR"/>
        </w:rPr>
        <w:t xml:space="preserve">CEMHTI, </w:t>
      </w:r>
      <w:r w:rsidRPr="00C31C60">
        <w:rPr>
          <w:rFonts w:asciiTheme="minorHAnsi" w:eastAsia="Calibri" w:hAnsiTheme="minorHAnsi"/>
          <w:sz w:val="18"/>
          <w:szCs w:val="18"/>
          <w:lang w:val="fr-FR"/>
        </w:rPr>
        <w:t>Orléans,</w:t>
      </w:r>
      <w:r w:rsidRPr="00C31C60">
        <w:rPr>
          <w:rFonts w:asciiTheme="minorHAnsi" w:hAnsiTheme="minorHAnsi"/>
          <w:sz w:val="18"/>
          <w:szCs w:val="18"/>
          <w:lang w:val="fr-FR"/>
        </w:rPr>
        <w:t xml:space="preserve"> France. (</w:t>
      </w:r>
      <w:hyperlink r:id="rId6" w:history="1">
        <w:r w:rsidR="005C2075" w:rsidRPr="00C31C60">
          <w:rPr>
            <w:rStyle w:val="Hipervnculo"/>
            <w:rFonts w:asciiTheme="minorHAnsi" w:hAnsiTheme="minorHAnsi"/>
            <w:color w:val="auto"/>
            <w:sz w:val="18"/>
            <w:szCs w:val="18"/>
            <w:lang w:val="fr-FR"/>
          </w:rPr>
          <w:t>mathieu.allix@cnrs-orleans.fr</w:t>
        </w:r>
      </w:hyperlink>
      <w:r w:rsidRPr="00C31C60">
        <w:rPr>
          <w:rStyle w:val="Hipervnculo"/>
          <w:rFonts w:asciiTheme="minorHAnsi" w:hAnsiTheme="minorHAnsi"/>
          <w:color w:val="auto"/>
          <w:sz w:val="18"/>
          <w:szCs w:val="18"/>
          <w:lang w:val="fr-FR"/>
        </w:rPr>
        <w:t>)</w:t>
      </w:r>
    </w:p>
    <w:p w:rsidR="00AE4254" w:rsidRPr="001C4C16" w:rsidRDefault="00AE4254" w:rsidP="001C4C16">
      <w:pPr>
        <w:spacing w:after="40" w:line="240" w:lineRule="auto"/>
        <w:ind w:firstLine="284"/>
        <w:jc w:val="both"/>
        <w:rPr>
          <w:sz w:val="19"/>
          <w:szCs w:val="19"/>
          <w:lang w:val="en-US"/>
        </w:rPr>
      </w:pPr>
      <w:r w:rsidRPr="001C4C16">
        <w:rPr>
          <w:sz w:val="19"/>
          <w:szCs w:val="19"/>
          <w:lang w:val="en-US"/>
        </w:rPr>
        <w:t>Crystallization from glass</w:t>
      </w:r>
      <w:r w:rsidR="00CD265F" w:rsidRPr="001C4C16">
        <w:rPr>
          <w:sz w:val="19"/>
          <w:szCs w:val="19"/>
          <w:lang w:val="en-US"/>
        </w:rPr>
        <w:t xml:space="preserve"> can be</w:t>
      </w:r>
      <w:r w:rsidRPr="001C4C16">
        <w:rPr>
          <w:sz w:val="19"/>
          <w:szCs w:val="19"/>
          <w:lang w:val="en-US"/>
        </w:rPr>
        <w:t xml:space="preserve"> a powerful process to elaborate </w:t>
      </w:r>
      <w:r w:rsidR="00CD265F" w:rsidRPr="001C4C16">
        <w:rPr>
          <w:sz w:val="19"/>
          <w:szCs w:val="19"/>
          <w:lang w:val="en-US"/>
        </w:rPr>
        <w:t xml:space="preserve">innovating transparent materials for optical and photonic applications </w:t>
      </w:r>
      <w:r w:rsidR="00DF373E" w:rsidRPr="001C4C16">
        <w:rPr>
          <w:sz w:val="19"/>
          <w:szCs w:val="19"/>
          <w:lang w:val="en-US"/>
        </w:rPr>
        <w:t>if</w:t>
      </w:r>
      <w:r w:rsidR="00CD265F" w:rsidRPr="001C4C16">
        <w:rPr>
          <w:sz w:val="19"/>
          <w:szCs w:val="19"/>
          <w:lang w:val="en-US"/>
        </w:rPr>
        <w:t xml:space="preserve"> nucleation and crystal growth steps can be </w:t>
      </w:r>
      <w:r w:rsidR="00D77C84" w:rsidRPr="001C4C16">
        <w:rPr>
          <w:sz w:val="19"/>
          <w:szCs w:val="19"/>
          <w:lang w:val="en-US"/>
        </w:rPr>
        <w:t xml:space="preserve">precisely </w:t>
      </w:r>
      <w:r w:rsidR="00CD265F" w:rsidRPr="001C4C16">
        <w:rPr>
          <w:sz w:val="19"/>
          <w:szCs w:val="19"/>
          <w:lang w:val="en-US"/>
        </w:rPr>
        <w:t xml:space="preserve">controlled. </w:t>
      </w:r>
      <w:r w:rsidR="00A91D07" w:rsidRPr="001C4C16">
        <w:rPr>
          <w:sz w:val="19"/>
          <w:szCs w:val="19"/>
          <w:lang w:val="en-US"/>
        </w:rPr>
        <w:t xml:space="preserve">This talk will focus on </w:t>
      </w:r>
      <w:r w:rsidR="00CD265F" w:rsidRPr="001C4C16">
        <w:rPr>
          <w:sz w:val="19"/>
          <w:szCs w:val="19"/>
          <w:lang w:val="en-US"/>
        </w:rPr>
        <w:t xml:space="preserve">two main </w:t>
      </w:r>
      <w:r w:rsidR="00A91D07" w:rsidRPr="001C4C16">
        <w:rPr>
          <w:sz w:val="19"/>
          <w:szCs w:val="19"/>
          <w:lang w:val="en-US"/>
        </w:rPr>
        <w:t xml:space="preserve">applications: transparent polycrystalline ceramics </w:t>
      </w:r>
      <w:r w:rsidR="00DF373E" w:rsidRPr="001C4C16">
        <w:rPr>
          <w:sz w:val="19"/>
          <w:szCs w:val="19"/>
          <w:lang w:val="en-US"/>
        </w:rPr>
        <w:t xml:space="preserve">elaborated by full and congruent crystallization from glass </w:t>
      </w:r>
      <w:r w:rsidR="00A91D07" w:rsidRPr="001C4C16">
        <w:rPr>
          <w:sz w:val="19"/>
          <w:szCs w:val="19"/>
          <w:lang w:val="en-US"/>
        </w:rPr>
        <w:t>and nanostructured glass-ceramics</w:t>
      </w:r>
      <w:r w:rsidR="00DF373E" w:rsidRPr="001C4C16">
        <w:rPr>
          <w:sz w:val="19"/>
          <w:szCs w:val="19"/>
          <w:lang w:val="en-US"/>
        </w:rPr>
        <w:t xml:space="preserve"> designed from nanoscale phase separated glasses</w:t>
      </w:r>
      <w:r w:rsidR="00A91D07" w:rsidRPr="001C4C16">
        <w:rPr>
          <w:sz w:val="19"/>
          <w:szCs w:val="19"/>
          <w:lang w:val="en-US"/>
        </w:rPr>
        <w:t xml:space="preserve">. </w:t>
      </w:r>
    </w:p>
    <w:p w:rsidR="00333738" w:rsidRPr="001C4C16" w:rsidRDefault="00333738" w:rsidP="001C4C16">
      <w:pPr>
        <w:spacing w:after="40" w:line="240" w:lineRule="auto"/>
        <w:jc w:val="both"/>
        <w:rPr>
          <w:i/>
          <w:sz w:val="19"/>
          <w:szCs w:val="19"/>
          <w:u w:val="single"/>
          <w:lang w:val="en-US"/>
        </w:rPr>
      </w:pPr>
      <w:r w:rsidRPr="001C4C16">
        <w:rPr>
          <w:i/>
          <w:sz w:val="19"/>
          <w:szCs w:val="19"/>
          <w:u w:val="single"/>
          <w:lang w:val="en-US"/>
        </w:rPr>
        <w:t>Transparent polycrystalline ceramics elaborated by full crystallization from glass</w:t>
      </w:r>
    </w:p>
    <w:p w:rsidR="00713795" w:rsidRDefault="00713795" w:rsidP="00713795">
      <w:pPr>
        <w:spacing w:after="40" w:line="240" w:lineRule="auto"/>
        <w:ind w:firstLine="284"/>
        <w:jc w:val="both"/>
        <w:rPr>
          <w:sz w:val="19"/>
          <w:szCs w:val="19"/>
          <w:lang w:val="en-US"/>
        </w:rPr>
      </w:pPr>
      <w:r w:rsidRPr="00713795">
        <w:rPr>
          <w:sz w:val="19"/>
          <w:szCs w:val="19"/>
          <w:lang w:val="en-US"/>
        </w:rPr>
        <w:t>Transparent ceramics are an emerging class of optical materials competing with single crystal</w:t>
      </w:r>
      <w:r>
        <w:rPr>
          <w:sz w:val="19"/>
          <w:szCs w:val="19"/>
          <w:lang w:val="en-US"/>
        </w:rPr>
        <w:t xml:space="preserve"> </w:t>
      </w:r>
      <w:r w:rsidRPr="00713795">
        <w:rPr>
          <w:sz w:val="19"/>
          <w:szCs w:val="19"/>
          <w:lang w:val="en-US"/>
        </w:rPr>
        <w:t>technology for a broad range of applications. Ceramics offer several advantages, particularly in the fabrication of</w:t>
      </w:r>
      <w:r>
        <w:rPr>
          <w:sz w:val="19"/>
          <w:szCs w:val="19"/>
          <w:lang w:val="en-US"/>
        </w:rPr>
        <w:t xml:space="preserve"> </w:t>
      </w:r>
      <w:r w:rsidRPr="00713795">
        <w:rPr>
          <w:sz w:val="19"/>
          <w:szCs w:val="19"/>
          <w:lang w:val="en-US"/>
        </w:rPr>
        <w:t>complex shapes and large-scale industrial production, and enable great and homogenous doping of optically active</w:t>
      </w:r>
      <w:r>
        <w:rPr>
          <w:sz w:val="19"/>
          <w:szCs w:val="19"/>
          <w:lang w:val="en-US"/>
        </w:rPr>
        <w:t xml:space="preserve"> </w:t>
      </w:r>
      <w:r w:rsidRPr="00713795">
        <w:rPr>
          <w:sz w:val="19"/>
          <w:szCs w:val="19"/>
          <w:lang w:val="en-US"/>
        </w:rPr>
        <w:t>ions. However, up to date, only a limited number of cubic or nanocrystalline transparent polycrystalline ceramics</w:t>
      </w:r>
      <w:r>
        <w:rPr>
          <w:sz w:val="19"/>
          <w:szCs w:val="19"/>
          <w:lang w:val="en-US"/>
        </w:rPr>
        <w:t xml:space="preserve"> </w:t>
      </w:r>
      <w:r w:rsidRPr="00713795">
        <w:rPr>
          <w:sz w:val="19"/>
          <w:szCs w:val="19"/>
          <w:lang w:val="en-US"/>
        </w:rPr>
        <w:t>requiring complex and expensive synthetic approaches has been reported.</w:t>
      </w:r>
      <w:r>
        <w:rPr>
          <w:sz w:val="19"/>
          <w:szCs w:val="19"/>
          <w:lang w:val="en-US"/>
        </w:rPr>
        <w:t xml:space="preserve"> </w:t>
      </w:r>
      <w:r w:rsidRPr="00713795">
        <w:rPr>
          <w:sz w:val="19"/>
          <w:szCs w:val="19"/>
          <w:lang w:val="en-US"/>
        </w:rPr>
        <w:t>Our recent work shows the possibility to obtain new transparent ceramics by full and congruent crystallization from</w:t>
      </w:r>
      <w:r>
        <w:rPr>
          <w:sz w:val="19"/>
          <w:szCs w:val="19"/>
          <w:lang w:val="en-US"/>
        </w:rPr>
        <w:t xml:space="preserve"> </w:t>
      </w:r>
      <w:r w:rsidRPr="00713795">
        <w:rPr>
          <w:sz w:val="19"/>
          <w:szCs w:val="19"/>
          <w:lang w:val="en-US"/>
        </w:rPr>
        <w:t>glass. This is demonstrated in the case of several new compositions, such as BaAl</w:t>
      </w:r>
      <w:r w:rsidRPr="00C31C60">
        <w:rPr>
          <w:sz w:val="19"/>
          <w:szCs w:val="19"/>
          <w:vertAlign w:val="subscript"/>
          <w:lang w:val="en-US"/>
        </w:rPr>
        <w:t>4</w:t>
      </w:r>
      <w:r w:rsidRPr="00713795">
        <w:rPr>
          <w:sz w:val="19"/>
          <w:szCs w:val="19"/>
          <w:lang w:val="en-US"/>
        </w:rPr>
        <w:t>O</w:t>
      </w:r>
      <w:r w:rsidRPr="00C31C60">
        <w:rPr>
          <w:sz w:val="19"/>
          <w:szCs w:val="19"/>
          <w:vertAlign w:val="subscript"/>
          <w:lang w:val="en-US"/>
        </w:rPr>
        <w:t>7</w:t>
      </w:r>
      <w:r w:rsidRPr="00713795">
        <w:rPr>
          <w:sz w:val="19"/>
          <w:szCs w:val="19"/>
          <w:lang w:val="en-US"/>
        </w:rPr>
        <w:t>, Sr</w:t>
      </w:r>
      <w:r w:rsidRPr="00C31C60">
        <w:rPr>
          <w:sz w:val="19"/>
          <w:szCs w:val="19"/>
          <w:vertAlign w:val="subscript"/>
          <w:lang w:val="en-US"/>
        </w:rPr>
        <w:t>3</w:t>
      </w:r>
      <w:r w:rsidRPr="00713795">
        <w:rPr>
          <w:sz w:val="19"/>
          <w:szCs w:val="19"/>
          <w:lang w:val="en-US"/>
        </w:rPr>
        <w:t>Al</w:t>
      </w:r>
      <w:r w:rsidRPr="00C31C60">
        <w:rPr>
          <w:sz w:val="19"/>
          <w:szCs w:val="19"/>
          <w:vertAlign w:val="subscript"/>
          <w:lang w:val="en-US"/>
        </w:rPr>
        <w:t>2</w:t>
      </w:r>
      <w:r w:rsidRPr="00713795">
        <w:rPr>
          <w:sz w:val="19"/>
          <w:szCs w:val="19"/>
          <w:lang w:val="en-US"/>
        </w:rPr>
        <w:t>O</w:t>
      </w:r>
      <w:r w:rsidRPr="00C31C60">
        <w:rPr>
          <w:sz w:val="19"/>
          <w:szCs w:val="19"/>
          <w:vertAlign w:val="subscript"/>
          <w:lang w:val="en-US"/>
        </w:rPr>
        <w:t>6</w:t>
      </w:r>
      <w:r w:rsidRPr="00713795">
        <w:rPr>
          <w:sz w:val="19"/>
          <w:szCs w:val="19"/>
          <w:lang w:val="en-US"/>
        </w:rPr>
        <w:t xml:space="preserve"> and Sr</w:t>
      </w:r>
      <w:r w:rsidRPr="00C31C60">
        <w:rPr>
          <w:sz w:val="19"/>
          <w:szCs w:val="19"/>
          <w:vertAlign w:val="subscript"/>
          <w:lang w:val="en-US"/>
        </w:rPr>
        <w:t>3</w:t>
      </w:r>
      <w:r w:rsidRPr="00713795">
        <w:rPr>
          <w:sz w:val="19"/>
          <w:szCs w:val="19"/>
          <w:lang w:val="en-US"/>
        </w:rPr>
        <w:t>Ga</w:t>
      </w:r>
      <w:r w:rsidRPr="00C31C60">
        <w:rPr>
          <w:sz w:val="19"/>
          <w:szCs w:val="19"/>
          <w:vertAlign w:val="subscript"/>
          <w:lang w:val="en-US"/>
        </w:rPr>
        <w:t>2</w:t>
      </w:r>
      <w:r w:rsidRPr="00713795">
        <w:rPr>
          <w:sz w:val="19"/>
          <w:szCs w:val="19"/>
          <w:lang w:val="en-US"/>
        </w:rPr>
        <w:t>O</w:t>
      </w:r>
      <w:r w:rsidRPr="00C31C60">
        <w:rPr>
          <w:sz w:val="19"/>
          <w:szCs w:val="19"/>
          <w:vertAlign w:val="subscript"/>
          <w:lang w:val="en-US"/>
        </w:rPr>
        <w:t>6</w:t>
      </w:r>
      <w:r w:rsidRPr="00713795">
        <w:rPr>
          <w:sz w:val="19"/>
          <w:szCs w:val="19"/>
          <w:lang w:val="en-US"/>
        </w:rPr>
        <w:t>, all</w:t>
      </w:r>
      <w:r>
        <w:rPr>
          <w:sz w:val="19"/>
          <w:szCs w:val="19"/>
          <w:lang w:val="en-US"/>
        </w:rPr>
        <w:t xml:space="preserve"> </w:t>
      </w:r>
      <w:r w:rsidRPr="00713795">
        <w:rPr>
          <w:sz w:val="19"/>
          <w:szCs w:val="19"/>
          <w:lang w:val="en-US"/>
        </w:rPr>
        <w:t>showing high transparency in the visible and infra-red ranges. Lately, we have focused our work on large scale and</w:t>
      </w:r>
      <w:r>
        <w:rPr>
          <w:sz w:val="19"/>
          <w:szCs w:val="19"/>
          <w:lang w:val="en-US"/>
        </w:rPr>
        <w:t xml:space="preserve"> </w:t>
      </w:r>
      <w:r w:rsidRPr="00713795">
        <w:rPr>
          <w:sz w:val="19"/>
          <w:szCs w:val="19"/>
          <w:lang w:val="en-US"/>
        </w:rPr>
        <w:t>highly transparent strontium aluminosilicate compositions. A crystallographic study coupled to NMR experiments and</w:t>
      </w:r>
      <w:r>
        <w:rPr>
          <w:sz w:val="19"/>
          <w:szCs w:val="19"/>
          <w:lang w:val="en-US"/>
        </w:rPr>
        <w:t xml:space="preserve"> </w:t>
      </w:r>
      <w:r w:rsidRPr="00713795">
        <w:rPr>
          <w:sz w:val="19"/>
          <w:szCs w:val="19"/>
          <w:lang w:val="en-US"/>
        </w:rPr>
        <w:t>DFT calculations of the birefringence evidences the role of structural disorder (Al/Si substitution and presence of</w:t>
      </w:r>
      <w:r>
        <w:rPr>
          <w:sz w:val="19"/>
          <w:szCs w:val="19"/>
          <w:lang w:val="en-US"/>
        </w:rPr>
        <w:t xml:space="preserve"> </w:t>
      </w:r>
      <w:r w:rsidRPr="00713795">
        <w:rPr>
          <w:sz w:val="19"/>
          <w:szCs w:val="19"/>
          <w:lang w:val="en-US"/>
        </w:rPr>
        <w:t>vacancies on strontium sites) to explain the optical isotropy observed in these hexagonal materials. These results</w:t>
      </w:r>
      <w:r>
        <w:rPr>
          <w:sz w:val="19"/>
          <w:szCs w:val="19"/>
          <w:lang w:val="en-US"/>
        </w:rPr>
        <w:t xml:space="preserve"> </w:t>
      </w:r>
      <w:r w:rsidRPr="00713795">
        <w:rPr>
          <w:sz w:val="19"/>
          <w:szCs w:val="19"/>
          <w:lang w:val="en-US"/>
        </w:rPr>
        <w:t>propose an innovative concept, the addition of a controlled structural disorder within crystalline structures, in order to</w:t>
      </w:r>
      <w:r>
        <w:rPr>
          <w:sz w:val="19"/>
          <w:szCs w:val="19"/>
          <w:lang w:val="en-US"/>
        </w:rPr>
        <w:t xml:space="preserve"> </w:t>
      </w:r>
      <w:r w:rsidRPr="00713795">
        <w:rPr>
          <w:sz w:val="19"/>
          <w:szCs w:val="19"/>
          <w:lang w:val="en-US"/>
        </w:rPr>
        <w:t>lower the birefringence and to elaborate new transparent ceramics.</w:t>
      </w:r>
    </w:p>
    <w:p w:rsidR="00713795" w:rsidRDefault="00C31C60" w:rsidP="00C31C60">
      <w:pPr>
        <w:spacing w:after="0" w:line="240" w:lineRule="auto"/>
        <w:rPr>
          <w:i/>
          <w:sz w:val="18"/>
          <w:szCs w:val="18"/>
          <w:lang w:val="en-US"/>
        </w:rPr>
      </w:pPr>
      <w:r w:rsidRPr="00C31C60">
        <w:rPr>
          <w:i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4370705</wp:posOffset>
                </wp:positionH>
                <wp:positionV relativeFrom="paragraph">
                  <wp:posOffset>320675</wp:posOffset>
                </wp:positionV>
                <wp:extent cx="1384300" cy="698500"/>
                <wp:effectExtent l="0" t="0" r="0" b="63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C60" w:rsidRPr="00C31C60" w:rsidRDefault="00C31C60" w:rsidP="00C31C6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31C60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Sr</w:t>
                            </w:r>
                            <w:r w:rsidRPr="00C31C60">
                              <w:rPr>
                                <w:i/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>1+x/2</w:t>
                            </w:r>
                            <w:r w:rsidRPr="00C31C60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Al</w:t>
                            </w:r>
                            <w:r w:rsidRPr="00C31C60">
                              <w:rPr>
                                <w:i/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>2+x</w:t>
                            </w:r>
                            <w:r w:rsidRPr="00C31C60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Si</w:t>
                            </w:r>
                            <w:r w:rsidRPr="00C31C60">
                              <w:rPr>
                                <w:i/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>2-x</w:t>
                            </w:r>
                            <w:r w:rsidRPr="00C31C60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 w:rsidRPr="00C31C60">
                              <w:rPr>
                                <w:i/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>8</w:t>
                            </w:r>
                            <w:r w:rsidRPr="00C31C60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transparent polycrystalline ceramics elaborated from full glass crystallization.</w:t>
                            </w:r>
                            <w:r w:rsidRPr="00C31C60">
                              <w:rPr>
                                <w:i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4.15pt;margin-top:25.25pt;width:109pt;height: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" filled="f" stroked="f">
                <v:textbox>
                  <w:txbxContent>
                    <w:p w:rsidR="00C31C60" w:rsidRPr="00C31C60" w:rsidRDefault="00C31C60" w:rsidP="00C31C6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31C60">
                        <w:rPr>
                          <w:i/>
                          <w:sz w:val="16"/>
                          <w:szCs w:val="16"/>
                          <w:lang w:val="en-US"/>
                        </w:rPr>
                        <w:t>Sr</w:t>
                      </w:r>
                      <w:r w:rsidRPr="00C31C60">
                        <w:rPr>
                          <w:i/>
                          <w:sz w:val="16"/>
                          <w:szCs w:val="16"/>
                          <w:vertAlign w:val="subscript"/>
                          <w:lang w:val="en-US"/>
                        </w:rPr>
                        <w:t>1+x/2</w:t>
                      </w:r>
                      <w:r w:rsidRPr="00C31C60">
                        <w:rPr>
                          <w:i/>
                          <w:sz w:val="16"/>
                          <w:szCs w:val="16"/>
                          <w:lang w:val="en-US"/>
                        </w:rPr>
                        <w:t>Al</w:t>
                      </w:r>
                      <w:r w:rsidRPr="00C31C60">
                        <w:rPr>
                          <w:i/>
                          <w:sz w:val="16"/>
                          <w:szCs w:val="16"/>
                          <w:vertAlign w:val="subscript"/>
                          <w:lang w:val="en-US"/>
                        </w:rPr>
                        <w:t>2+x</w:t>
                      </w:r>
                      <w:r w:rsidRPr="00C31C60">
                        <w:rPr>
                          <w:i/>
                          <w:sz w:val="16"/>
                          <w:szCs w:val="16"/>
                          <w:lang w:val="en-US"/>
                        </w:rPr>
                        <w:t>Si</w:t>
                      </w:r>
                      <w:r w:rsidRPr="00C31C60">
                        <w:rPr>
                          <w:i/>
                          <w:sz w:val="16"/>
                          <w:szCs w:val="16"/>
                          <w:vertAlign w:val="subscript"/>
                          <w:lang w:val="en-US"/>
                        </w:rPr>
                        <w:t>2-x</w:t>
                      </w:r>
                      <w:r w:rsidRPr="00C31C60">
                        <w:rPr>
                          <w:i/>
                          <w:sz w:val="16"/>
                          <w:szCs w:val="16"/>
                          <w:lang w:val="en-US"/>
                        </w:rPr>
                        <w:t>O</w:t>
                      </w:r>
                      <w:r w:rsidRPr="00C31C60">
                        <w:rPr>
                          <w:i/>
                          <w:sz w:val="16"/>
                          <w:szCs w:val="16"/>
                          <w:vertAlign w:val="subscript"/>
                          <w:lang w:val="en-US"/>
                        </w:rPr>
                        <w:t>8</w:t>
                      </w:r>
                      <w:r w:rsidRPr="00C31C60">
                        <w:rPr>
                          <w:i/>
                          <w:sz w:val="16"/>
                          <w:szCs w:val="16"/>
                          <w:lang w:val="en-US"/>
                        </w:rPr>
                        <w:t xml:space="preserve"> transparent polycrystalline ceramics elaborated from full glass crystallization.</w:t>
                      </w:r>
                      <w:r w:rsidRPr="00C31C60">
                        <w:rPr>
                          <w:i/>
                          <w:sz w:val="16"/>
                          <w:szCs w:val="16"/>
                          <w:vertAlign w:val="superscript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D265F" w:rsidRPr="00DF373E">
        <w:rPr>
          <w:noProof/>
          <w:sz w:val="18"/>
          <w:szCs w:val="18"/>
          <w:lang w:val="es-ES" w:eastAsia="es-ES"/>
        </w:rPr>
        <w:drawing>
          <wp:inline distT="0" distB="0" distL="0" distR="0" wp14:anchorId="5960B8F9" wp14:editId="6EA50E95">
            <wp:extent cx="4371428" cy="1260000"/>
            <wp:effectExtent l="0" t="0" r="0" b="0"/>
            <wp:docPr id="4" name="Image 2" descr="Ceram T cryst Ver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am T cryst Verre 2.jpg"/>
                    <pic:cNvPicPr/>
                  </pic:nvPicPr>
                  <pic:blipFill>
                    <a:blip r:embed="rId7" cstate="print"/>
                    <a:srcRect l="988" t="438" r="1288" b="-5381"/>
                    <a:stretch>
                      <a:fillRect/>
                    </a:stretch>
                  </pic:blipFill>
                  <pic:spPr>
                    <a:xfrm>
                      <a:off x="0" y="0"/>
                      <a:ext cx="437142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738" w:rsidRPr="00DF373E" w:rsidRDefault="00333738" w:rsidP="00713795">
      <w:pPr>
        <w:autoSpaceDE w:val="0"/>
        <w:autoSpaceDN w:val="0"/>
        <w:adjustRightInd w:val="0"/>
        <w:spacing w:before="120" w:after="60" w:line="240" w:lineRule="auto"/>
        <w:jc w:val="both"/>
        <w:rPr>
          <w:rFonts w:cs="ScalaSansLF-Bold"/>
          <w:bCs/>
          <w:i/>
          <w:noProof/>
          <w:sz w:val="20"/>
          <w:szCs w:val="20"/>
          <w:u w:val="single"/>
          <w:lang w:val="en-US"/>
        </w:rPr>
      </w:pPr>
      <w:r w:rsidRPr="00DF373E">
        <w:rPr>
          <w:i/>
          <w:sz w:val="20"/>
          <w:szCs w:val="20"/>
          <w:u w:val="single"/>
          <w:lang w:val="en-US"/>
        </w:rPr>
        <w:t>Transparent nanostructured glass and glass-ceramics</w:t>
      </w:r>
      <w:r w:rsidRPr="00DF373E">
        <w:rPr>
          <w:rFonts w:cs="ScalaSansLF-Bold"/>
          <w:bCs/>
          <w:i/>
          <w:noProof/>
          <w:sz w:val="20"/>
          <w:szCs w:val="20"/>
          <w:u w:val="single"/>
          <w:lang w:val="en-US"/>
        </w:rPr>
        <w:t xml:space="preserve"> </w:t>
      </w:r>
    </w:p>
    <w:p w:rsidR="00E922EF" w:rsidRPr="00DF373E" w:rsidRDefault="00C31C60" w:rsidP="00713795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sz w:val="20"/>
          <w:szCs w:val="20"/>
          <w:lang w:val="en-US"/>
        </w:rPr>
      </w:pPr>
      <w:r>
        <w:rPr>
          <w:rFonts w:cs="ScalaSansLF-Bold"/>
          <w:bCs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D7C88" wp14:editId="697F3FFA">
                <wp:simplePos x="0" y="0"/>
                <wp:positionH relativeFrom="column">
                  <wp:posOffset>3780155</wp:posOffset>
                </wp:positionH>
                <wp:positionV relativeFrom="paragraph">
                  <wp:posOffset>2493010</wp:posOffset>
                </wp:positionV>
                <wp:extent cx="1910080" cy="32385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C84" w:rsidRPr="00713795" w:rsidRDefault="00D77C84" w:rsidP="00D960AD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13795">
                              <w:rPr>
                                <w:i/>
                                <w:sz w:val="14"/>
                                <w:szCs w:val="14"/>
                                <w:lang w:val="en-US"/>
                              </w:rPr>
                              <w:t>TEM patterns of zinc gallogermanate glass (a) and glass-ceramic (b) materials.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97.65pt;margin-top:196.3pt;width:150.4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jUguA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" filled="f" stroked="f">
                <v:textbox>
                  <w:txbxContent>
                    <w:p w:rsidR="00D77C84" w:rsidRPr="00713795" w:rsidRDefault="00D77C84" w:rsidP="00D960AD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713795">
                        <w:rPr>
                          <w:i/>
                          <w:sz w:val="14"/>
                          <w:szCs w:val="14"/>
                          <w:lang w:val="en-US"/>
                        </w:rPr>
                        <w:t>TEM patterns of zinc gallogermanate glass (a) and glass-ceramic (b) materials.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373E">
        <w:rPr>
          <w:rFonts w:cs="ScalaSansLF-Bold"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29463332" wp14:editId="0526CB9A">
            <wp:simplePos x="0" y="0"/>
            <wp:positionH relativeFrom="column">
              <wp:posOffset>3728720</wp:posOffset>
            </wp:positionH>
            <wp:positionV relativeFrom="paragraph">
              <wp:posOffset>335915</wp:posOffset>
            </wp:positionV>
            <wp:extent cx="2023745" cy="2159635"/>
            <wp:effectExtent l="0" t="0" r="0" b="0"/>
            <wp:wrapSquare wrapText="bothSides"/>
            <wp:docPr id="6" name="Image 5" descr="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254" w:rsidRPr="00DF373E">
        <w:rPr>
          <w:rFonts w:cs="ScalaSansLF-Bold"/>
          <w:bCs/>
          <w:sz w:val="20"/>
          <w:szCs w:val="20"/>
          <w:lang w:val="en-US"/>
        </w:rPr>
        <w:t>New nanostructured gallogermanate- and gallosilicate-based glass materials exhibiting high transparency in the visible range have been fabricated by conventional melt-quenching. These materials can accommodate wide oxide compositions and present nanoscale phase separation. The size of the nanostructuring can be tailored depending on the nominal composition. A single heat treatment then allows selective crystallization of the phase separated glass, resulting in glass-ceramic materials exhibiting nanostructures and transparency similar to the parent glass</w:t>
      </w:r>
      <w:r w:rsidR="003D5786">
        <w:rPr>
          <w:rFonts w:cs="ScalaSansLF-Bold"/>
          <w:bCs/>
          <w:sz w:val="20"/>
          <w:szCs w:val="20"/>
          <w:lang w:val="en-US"/>
        </w:rPr>
        <w:t xml:space="preserve"> </w:t>
      </w:r>
      <w:r w:rsidR="00AE4254" w:rsidRPr="00DF373E">
        <w:rPr>
          <w:rFonts w:cs="ScalaSansLF-Bold"/>
          <w:bCs/>
          <w:sz w:val="20"/>
          <w:szCs w:val="20"/>
          <w:lang w:val="en-US"/>
        </w:rPr>
        <w:t>[</w:t>
      </w:r>
      <w:r w:rsidR="003D5786">
        <w:rPr>
          <w:rFonts w:cs="ScalaSansLF-Bold"/>
          <w:bCs/>
          <w:sz w:val="20"/>
          <w:szCs w:val="20"/>
          <w:lang w:val="en-US"/>
        </w:rPr>
        <w:t>8, 9</w:t>
      </w:r>
      <w:r w:rsidR="00AE4254" w:rsidRPr="00DF373E">
        <w:rPr>
          <w:rFonts w:cs="ScalaSansLF-Bold"/>
          <w:bCs/>
          <w:sz w:val="20"/>
          <w:szCs w:val="20"/>
          <w:lang w:val="en-US"/>
        </w:rPr>
        <w:t>]</w:t>
      </w:r>
      <w:r w:rsidR="003D5786">
        <w:rPr>
          <w:rFonts w:cs="ScalaSansLF-Bold"/>
          <w:bCs/>
          <w:sz w:val="20"/>
          <w:szCs w:val="20"/>
          <w:lang w:val="en-US"/>
        </w:rPr>
        <w:t>.</w:t>
      </w:r>
      <w:r w:rsidR="00611B46">
        <w:rPr>
          <w:rFonts w:cs="ScalaSansLF-Bold"/>
          <w:bCs/>
          <w:sz w:val="20"/>
          <w:szCs w:val="20"/>
          <w:lang w:val="en-US"/>
        </w:rPr>
        <w:t xml:space="preserve"> </w:t>
      </w:r>
      <w:r w:rsidR="00AE4254" w:rsidRPr="00DF373E">
        <w:rPr>
          <w:rFonts w:cs="ScalaSansLF-Bold"/>
          <w:bCs/>
          <w:sz w:val="20"/>
          <w:szCs w:val="20"/>
          <w:lang w:val="en-US"/>
        </w:rPr>
        <w:t xml:space="preserve">The wide possibilities of designing new nanostructured glass-ceramics with tunable optical properties will be illustrated in the case </w:t>
      </w:r>
      <w:r w:rsidR="00AE4254" w:rsidRPr="00DF373E">
        <w:rPr>
          <w:sz w:val="20"/>
          <w:szCs w:val="20"/>
          <w:lang w:val="en-US"/>
        </w:rPr>
        <w:t>of a h</w:t>
      </w:r>
      <w:r w:rsidR="00AE4254" w:rsidRPr="00DF373E">
        <w:rPr>
          <w:rFonts w:cs="ScalaSansLF-Bold"/>
          <w:bCs/>
          <w:sz w:val="20"/>
          <w:szCs w:val="20"/>
          <w:lang w:val="en-US"/>
        </w:rPr>
        <w:t>ighly transparent ZnGa</w:t>
      </w:r>
      <w:r w:rsidR="00AE4254" w:rsidRPr="00DF373E">
        <w:rPr>
          <w:rFonts w:cs="ScalaSansLF-Bold"/>
          <w:bCs/>
          <w:sz w:val="20"/>
          <w:szCs w:val="20"/>
          <w:vertAlign w:val="subscript"/>
          <w:lang w:val="en-US"/>
        </w:rPr>
        <w:t>2</w:t>
      </w:r>
      <w:r w:rsidR="00AE4254" w:rsidRPr="00DF373E">
        <w:rPr>
          <w:rFonts w:cs="ScalaSansLF-Bold"/>
          <w:bCs/>
          <w:sz w:val="20"/>
          <w:szCs w:val="20"/>
          <w:lang w:val="en-US"/>
        </w:rPr>
        <w:t>O</w:t>
      </w:r>
      <w:r w:rsidR="00AE4254" w:rsidRPr="00DF373E">
        <w:rPr>
          <w:rFonts w:cs="ScalaSansLF-Bold"/>
          <w:bCs/>
          <w:sz w:val="20"/>
          <w:szCs w:val="20"/>
          <w:vertAlign w:val="subscript"/>
          <w:lang w:val="en-US"/>
        </w:rPr>
        <w:t>4</w:t>
      </w:r>
      <w:r w:rsidR="00AE4254" w:rsidRPr="00DF373E">
        <w:rPr>
          <w:rFonts w:cs="ScalaSansLF-Bold"/>
          <w:bCs/>
          <w:sz w:val="20"/>
          <w:szCs w:val="20"/>
          <w:lang w:val="en-US"/>
        </w:rPr>
        <w:t xml:space="preserve"> glass-ceramic exhibiting 50 wt% of nanocrystals with homogeneous and tunable sizes. High resolution scanning transmission electron microscopy analysis coupled with in situ high temperature X-ray diffraction and optical measurements led to a detailed description of the crystallization process. Remarkably, red long-lasting luminescence arising from the entire sample volume is observed in this Cr</w:t>
      </w:r>
      <w:r w:rsidR="00AE4254" w:rsidRPr="00DF373E">
        <w:rPr>
          <w:rFonts w:cs="ScalaSansLF-Bold"/>
          <w:bCs/>
          <w:sz w:val="20"/>
          <w:szCs w:val="20"/>
          <w:vertAlign w:val="superscript"/>
          <w:lang w:val="en-US"/>
        </w:rPr>
        <w:t>3+</w:t>
      </w:r>
      <w:r w:rsidR="00AE4254" w:rsidRPr="00DF373E">
        <w:rPr>
          <w:rFonts w:cs="ScalaSansLF-Bold"/>
          <w:bCs/>
          <w:sz w:val="20"/>
          <w:szCs w:val="20"/>
          <w:lang w:val="en-US"/>
        </w:rPr>
        <w:t xml:space="preserve"> doped material, opening the route to a wider range of performing applications for this famous zinc gallate persistent phosphor</w:t>
      </w:r>
      <w:r w:rsidR="003D5786">
        <w:rPr>
          <w:rFonts w:cs="ScalaSansLF-Bold"/>
          <w:bCs/>
          <w:sz w:val="20"/>
          <w:szCs w:val="20"/>
          <w:lang w:val="en-US"/>
        </w:rPr>
        <w:t xml:space="preserve"> </w:t>
      </w:r>
      <w:r w:rsidR="00AE4254" w:rsidRPr="00DF373E">
        <w:rPr>
          <w:rFonts w:cs="ScalaSansLF-Bold"/>
          <w:bCs/>
          <w:sz w:val="20"/>
          <w:szCs w:val="20"/>
          <w:lang w:val="en-US"/>
        </w:rPr>
        <w:t>[</w:t>
      </w:r>
      <w:r w:rsidR="003D5786">
        <w:rPr>
          <w:rFonts w:cs="ScalaSansLF-Bold"/>
          <w:bCs/>
          <w:sz w:val="20"/>
          <w:szCs w:val="20"/>
          <w:lang w:val="en-US"/>
        </w:rPr>
        <w:t>10, 11</w:t>
      </w:r>
      <w:r w:rsidR="00AE4254" w:rsidRPr="00DF373E">
        <w:rPr>
          <w:rFonts w:cs="ScalaSansLF-Bold"/>
          <w:bCs/>
          <w:sz w:val="20"/>
          <w:szCs w:val="20"/>
          <w:lang w:val="en-US"/>
        </w:rPr>
        <w:t>]</w:t>
      </w:r>
      <w:r w:rsidR="003D5786">
        <w:rPr>
          <w:rFonts w:cs="ScalaSansLF-Bold"/>
          <w:bCs/>
          <w:sz w:val="20"/>
          <w:szCs w:val="20"/>
          <w:lang w:val="en-US"/>
        </w:rPr>
        <w:t>.</w:t>
      </w:r>
    </w:p>
    <w:p w:rsidR="002F3CB1" w:rsidRPr="00713795" w:rsidRDefault="00C31C60" w:rsidP="00C31C60">
      <w:pPr>
        <w:pStyle w:val="reference"/>
        <w:spacing w:before="120" w:beforeAutospacing="0" w:after="20" w:afterAutospacing="0"/>
        <w:jc w:val="both"/>
        <w:rPr>
          <w:sz w:val="16"/>
          <w:szCs w:val="16"/>
          <w:lang w:val="en-US"/>
        </w:rPr>
      </w:pPr>
      <w:r>
        <w:rPr>
          <w:bCs/>
          <w:sz w:val="16"/>
          <w:szCs w:val="16"/>
          <w:lang w:val="en-US"/>
        </w:rPr>
        <w:t xml:space="preserve">1. </w:t>
      </w:r>
      <w:r w:rsidR="0004689E" w:rsidRPr="00713795">
        <w:rPr>
          <w:bCs/>
          <w:sz w:val="16"/>
          <w:szCs w:val="16"/>
          <w:lang w:val="en-US"/>
        </w:rPr>
        <w:t>M.Allix</w:t>
      </w:r>
      <w:r>
        <w:rPr>
          <w:bCs/>
          <w:sz w:val="16"/>
          <w:szCs w:val="16"/>
          <w:lang w:val="en-US"/>
        </w:rPr>
        <w:t xml:space="preserve"> et al.</w:t>
      </w:r>
      <w:r w:rsidR="0004689E" w:rsidRPr="00713795">
        <w:rPr>
          <w:sz w:val="16"/>
          <w:szCs w:val="16"/>
          <w:lang w:val="en-US"/>
        </w:rPr>
        <w:t xml:space="preserve">, </w:t>
      </w:r>
      <w:r w:rsidR="0004689E" w:rsidRPr="00713795">
        <w:rPr>
          <w:b/>
          <w:i/>
          <w:sz w:val="16"/>
          <w:szCs w:val="16"/>
          <w:lang w:val="en-US"/>
        </w:rPr>
        <w:t>Advanced Materials</w:t>
      </w:r>
      <w:r w:rsidR="00FC6BC0" w:rsidRPr="00713795">
        <w:rPr>
          <w:sz w:val="16"/>
          <w:szCs w:val="16"/>
          <w:lang w:val="en-US"/>
        </w:rPr>
        <w:t>, 24 5570-5575 (2012).</w:t>
      </w:r>
      <w:r>
        <w:rPr>
          <w:sz w:val="16"/>
          <w:szCs w:val="16"/>
          <w:lang w:val="en-US"/>
        </w:rPr>
        <w:t xml:space="preserve"> </w:t>
      </w:r>
      <w:r w:rsidR="0004689E" w:rsidRPr="00713795">
        <w:rPr>
          <w:sz w:val="16"/>
          <w:szCs w:val="16"/>
          <w:lang w:val="en-US"/>
        </w:rPr>
        <w:t xml:space="preserve">2. </w:t>
      </w:r>
      <w:r w:rsidRPr="00C31C60">
        <w:rPr>
          <w:b/>
          <w:i/>
          <w:sz w:val="16"/>
          <w:szCs w:val="16"/>
          <w:lang w:val="en-US"/>
        </w:rPr>
        <w:t>In</w:t>
      </w:r>
      <w:r w:rsidR="0004689E" w:rsidRPr="00C31C60">
        <w:rPr>
          <w:b/>
          <w:i/>
          <w:sz w:val="16"/>
          <w:szCs w:val="16"/>
          <w:lang w:val="en-US"/>
        </w:rPr>
        <w:t>ternational patent</w:t>
      </w:r>
      <w:r w:rsidR="0004689E" w:rsidRPr="00713795">
        <w:rPr>
          <w:sz w:val="16"/>
          <w:szCs w:val="16"/>
          <w:lang w:val="en-US"/>
        </w:rPr>
        <w:t xml:space="preserve"> deposite</w:t>
      </w:r>
      <w:r>
        <w:rPr>
          <w:sz w:val="16"/>
          <w:szCs w:val="16"/>
          <w:lang w:val="en-US"/>
        </w:rPr>
        <w:t xml:space="preserve">d 1/12/2011, published 6/6/2013. </w:t>
      </w:r>
      <w:r w:rsidR="0004689E" w:rsidRPr="00713795">
        <w:rPr>
          <w:i/>
          <w:sz w:val="16"/>
          <w:szCs w:val="16"/>
          <w:lang w:val="en-US"/>
        </w:rPr>
        <w:t xml:space="preserve">3. </w:t>
      </w:r>
      <w:r w:rsidR="0004689E" w:rsidRPr="00713795">
        <w:rPr>
          <w:bCs/>
          <w:sz w:val="16"/>
          <w:szCs w:val="16"/>
          <w:lang w:val="en-US"/>
        </w:rPr>
        <w:t>G.Patton</w:t>
      </w:r>
      <w:r>
        <w:rPr>
          <w:bCs/>
          <w:sz w:val="16"/>
          <w:szCs w:val="16"/>
          <w:lang w:val="en-US"/>
        </w:rPr>
        <w:t xml:space="preserve"> et al., </w:t>
      </w:r>
      <w:r w:rsidR="0004689E" w:rsidRPr="00713795">
        <w:rPr>
          <w:b/>
          <w:i/>
          <w:sz w:val="16"/>
          <w:szCs w:val="16"/>
          <w:lang w:val="en-US"/>
        </w:rPr>
        <w:t>P</w:t>
      </w:r>
      <w:r>
        <w:rPr>
          <w:b/>
          <w:i/>
          <w:sz w:val="16"/>
          <w:szCs w:val="16"/>
          <w:lang w:val="en-US"/>
        </w:rPr>
        <w:t>CCP</w:t>
      </w:r>
      <w:r w:rsidR="0004689E" w:rsidRPr="00713795">
        <w:rPr>
          <w:sz w:val="16"/>
          <w:szCs w:val="16"/>
          <w:lang w:val="en-US"/>
        </w:rPr>
        <w:t>, 16 24824 (2014)</w:t>
      </w:r>
      <w:r w:rsidR="00FC6BC0" w:rsidRPr="00713795">
        <w:rPr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 xml:space="preserve"> </w:t>
      </w:r>
      <w:r w:rsidR="003D5786" w:rsidRPr="00713795">
        <w:rPr>
          <w:sz w:val="16"/>
          <w:szCs w:val="16"/>
          <w:lang w:val="en-US"/>
        </w:rPr>
        <w:t xml:space="preserve">4. </w:t>
      </w:r>
      <w:r w:rsidR="00FC6BC0" w:rsidRPr="00713795">
        <w:rPr>
          <w:bCs/>
          <w:sz w:val="16"/>
          <w:szCs w:val="16"/>
          <w:lang w:val="en-US"/>
        </w:rPr>
        <w:t>M.Boyer</w:t>
      </w:r>
      <w:r>
        <w:rPr>
          <w:bCs/>
          <w:sz w:val="16"/>
          <w:szCs w:val="16"/>
          <w:lang w:val="en-US"/>
        </w:rPr>
        <w:t xml:space="preserve"> et al.</w:t>
      </w:r>
      <w:r w:rsidR="00FC6BC0" w:rsidRPr="00713795">
        <w:rPr>
          <w:sz w:val="16"/>
          <w:szCs w:val="16"/>
          <w:lang w:val="en-US"/>
        </w:rPr>
        <w:t xml:space="preserve">, </w:t>
      </w:r>
      <w:r w:rsidR="00FC6BC0" w:rsidRPr="00713795">
        <w:rPr>
          <w:b/>
          <w:sz w:val="16"/>
          <w:szCs w:val="16"/>
          <w:lang w:val="en-US"/>
        </w:rPr>
        <w:t>J</w:t>
      </w:r>
      <w:r>
        <w:rPr>
          <w:b/>
          <w:sz w:val="16"/>
          <w:szCs w:val="16"/>
          <w:lang w:val="en-US"/>
        </w:rPr>
        <w:t xml:space="preserve">. </w:t>
      </w:r>
      <w:r w:rsidR="00FC6BC0" w:rsidRPr="00713795">
        <w:rPr>
          <w:b/>
          <w:sz w:val="16"/>
          <w:szCs w:val="16"/>
          <w:lang w:val="en-US"/>
        </w:rPr>
        <w:t>Mater</w:t>
      </w:r>
      <w:r>
        <w:rPr>
          <w:b/>
          <w:sz w:val="16"/>
          <w:szCs w:val="16"/>
          <w:lang w:val="en-US"/>
        </w:rPr>
        <w:t xml:space="preserve">. </w:t>
      </w:r>
      <w:r w:rsidR="00FC6BC0" w:rsidRPr="00713795">
        <w:rPr>
          <w:b/>
          <w:sz w:val="16"/>
          <w:szCs w:val="16"/>
          <w:lang w:val="en-US"/>
        </w:rPr>
        <w:t>Chem</w:t>
      </w:r>
      <w:r>
        <w:rPr>
          <w:b/>
          <w:sz w:val="16"/>
          <w:szCs w:val="16"/>
          <w:lang w:val="en-US"/>
        </w:rPr>
        <w:t>. C</w:t>
      </w:r>
      <w:r w:rsidR="00FC6BC0" w:rsidRPr="00713795">
        <w:rPr>
          <w:sz w:val="16"/>
          <w:szCs w:val="16"/>
          <w:lang w:val="en-US"/>
        </w:rPr>
        <w:t xml:space="preserve">, </w:t>
      </w:r>
      <w:r w:rsidR="00713795" w:rsidRPr="00713795">
        <w:rPr>
          <w:sz w:val="16"/>
          <w:szCs w:val="16"/>
          <w:lang w:val="en-US"/>
        </w:rPr>
        <w:t>4 3238-3247 (2016)</w:t>
      </w:r>
      <w:r w:rsidR="00FC6BC0" w:rsidRPr="00713795">
        <w:rPr>
          <w:sz w:val="16"/>
          <w:szCs w:val="16"/>
          <w:lang w:val="en-US"/>
        </w:rPr>
        <w:t xml:space="preserve">. </w:t>
      </w:r>
      <w:r w:rsidR="003D5786" w:rsidRPr="00713795">
        <w:rPr>
          <w:sz w:val="16"/>
          <w:szCs w:val="16"/>
          <w:lang w:val="en-US"/>
        </w:rPr>
        <w:t>5</w:t>
      </w:r>
      <w:r w:rsidR="0004689E" w:rsidRPr="00713795">
        <w:rPr>
          <w:sz w:val="16"/>
          <w:szCs w:val="16"/>
          <w:lang w:val="en-US"/>
        </w:rPr>
        <w:t xml:space="preserve">. </w:t>
      </w:r>
      <w:r w:rsidR="0004689E" w:rsidRPr="00713795">
        <w:rPr>
          <w:bCs/>
          <w:sz w:val="16"/>
          <w:szCs w:val="16"/>
          <w:lang w:val="en-US"/>
        </w:rPr>
        <w:t>S.Alahraché</w:t>
      </w:r>
      <w:r>
        <w:rPr>
          <w:bCs/>
          <w:sz w:val="16"/>
          <w:szCs w:val="16"/>
          <w:lang w:val="en-US"/>
        </w:rPr>
        <w:t xml:space="preserve"> et al, </w:t>
      </w:r>
      <w:r w:rsidR="0004689E" w:rsidRPr="00713795">
        <w:rPr>
          <w:b/>
          <w:i/>
          <w:sz w:val="16"/>
          <w:szCs w:val="16"/>
          <w:lang w:val="en-US"/>
        </w:rPr>
        <w:t>Chemistry of Materials</w:t>
      </w:r>
      <w:r>
        <w:rPr>
          <w:sz w:val="16"/>
          <w:szCs w:val="16"/>
          <w:lang w:val="en-US"/>
        </w:rPr>
        <w:t xml:space="preserve">, 25 4017-4024 (2013). </w:t>
      </w:r>
      <w:r w:rsidR="003D5786" w:rsidRPr="00713795">
        <w:rPr>
          <w:sz w:val="16"/>
          <w:szCs w:val="16"/>
          <w:lang w:val="en-US"/>
        </w:rPr>
        <w:t xml:space="preserve">6. </w:t>
      </w:r>
      <w:r w:rsidR="00FC6BC0" w:rsidRPr="00713795">
        <w:rPr>
          <w:bCs/>
          <w:sz w:val="16"/>
          <w:szCs w:val="16"/>
          <w:lang w:val="en-US"/>
        </w:rPr>
        <w:t>M.Boyer</w:t>
      </w:r>
      <w:r>
        <w:rPr>
          <w:bCs/>
          <w:sz w:val="16"/>
          <w:szCs w:val="16"/>
          <w:lang w:val="en-US"/>
        </w:rPr>
        <w:t xml:space="preserve"> et al. </w:t>
      </w:r>
      <w:r w:rsidR="00FC6BC0" w:rsidRPr="00713795">
        <w:rPr>
          <w:sz w:val="16"/>
          <w:szCs w:val="16"/>
          <w:lang w:val="en-US"/>
        </w:rPr>
        <w:t>Cryst.</w:t>
      </w:r>
      <w:r>
        <w:rPr>
          <w:sz w:val="16"/>
          <w:szCs w:val="16"/>
          <w:lang w:val="en-US"/>
        </w:rPr>
        <w:t xml:space="preserve"> Growth Des., 16 386-395 (2016). </w:t>
      </w:r>
      <w:r w:rsidR="003D5786" w:rsidRPr="00713795">
        <w:rPr>
          <w:sz w:val="16"/>
          <w:szCs w:val="16"/>
          <w:lang w:val="en-US"/>
        </w:rPr>
        <w:t>7</w:t>
      </w:r>
      <w:r w:rsidR="00E922EF" w:rsidRPr="00713795">
        <w:rPr>
          <w:sz w:val="16"/>
          <w:szCs w:val="16"/>
          <w:lang w:val="en-US"/>
        </w:rPr>
        <w:t xml:space="preserve">. </w:t>
      </w:r>
      <w:r w:rsidR="00D81AB7" w:rsidRPr="00713795">
        <w:rPr>
          <w:bCs/>
          <w:sz w:val="16"/>
          <w:szCs w:val="16"/>
          <w:lang w:val="en-US"/>
        </w:rPr>
        <w:t>K.Al Saghir</w:t>
      </w:r>
      <w:r>
        <w:rPr>
          <w:bCs/>
          <w:sz w:val="16"/>
          <w:szCs w:val="16"/>
          <w:lang w:val="en-US"/>
        </w:rPr>
        <w:t xml:space="preserve"> et al.</w:t>
      </w:r>
      <w:r w:rsidR="00D81AB7" w:rsidRPr="00C31C60">
        <w:rPr>
          <w:sz w:val="16"/>
          <w:szCs w:val="16"/>
          <w:lang w:val="en-US"/>
        </w:rPr>
        <w:t xml:space="preserve">, </w:t>
      </w:r>
      <w:r w:rsidR="0053118E" w:rsidRPr="00C31C60">
        <w:rPr>
          <w:b/>
          <w:i/>
          <w:sz w:val="16"/>
          <w:szCs w:val="16"/>
          <w:lang w:val="en-US"/>
        </w:rPr>
        <w:t>Chemistry of Materials</w:t>
      </w:r>
      <w:r w:rsidR="00D81AB7" w:rsidRPr="00C31C60">
        <w:rPr>
          <w:sz w:val="16"/>
          <w:szCs w:val="16"/>
          <w:lang w:val="en-US"/>
        </w:rPr>
        <w:t>, 27 508-514 (2015)</w:t>
      </w:r>
      <w:r>
        <w:rPr>
          <w:sz w:val="16"/>
          <w:szCs w:val="16"/>
          <w:lang w:val="en-US"/>
        </w:rPr>
        <w:t xml:space="preserve">. </w:t>
      </w:r>
      <w:r w:rsidR="003D5786" w:rsidRPr="00713795">
        <w:rPr>
          <w:sz w:val="16"/>
          <w:szCs w:val="16"/>
          <w:lang w:val="en-US"/>
        </w:rPr>
        <w:t>8</w:t>
      </w:r>
      <w:r w:rsidR="0004689E" w:rsidRPr="00713795">
        <w:rPr>
          <w:sz w:val="16"/>
          <w:szCs w:val="16"/>
          <w:lang w:val="en-US"/>
        </w:rPr>
        <w:t>.</w:t>
      </w:r>
      <w:r w:rsidR="0004689E" w:rsidRPr="00713795">
        <w:rPr>
          <w:i/>
          <w:sz w:val="16"/>
          <w:szCs w:val="16"/>
          <w:lang w:val="en-US"/>
        </w:rPr>
        <w:t xml:space="preserve"> </w:t>
      </w:r>
      <w:r w:rsidR="0004689E" w:rsidRPr="00C31C60">
        <w:rPr>
          <w:b/>
          <w:i/>
          <w:sz w:val="16"/>
          <w:szCs w:val="16"/>
          <w:lang w:val="en-US"/>
        </w:rPr>
        <w:t>International patent</w:t>
      </w:r>
      <w:r w:rsidR="0004689E" w:rsidRPr="00713795">
        <w:rPr>
          <w:sz w:val="16"/>
          <w:szCs w:val="16"/>
          <w:lang w:val="en-US"/>
        </w:rPr>
        <w:t xml:space="preserve"> </w:t>
      </w:r>
      <w:r w:rsidR="0004689E" w:rsidRPr="00713795">
        <w:rPr>
          <w:i/>
          <w:sz w:val="16"/>
          <w:szCs w:val="16"/>
          <w:lang w:val="en-US"/>
        </w:rPr>
        <w:t>deposited 28/02/2014, published 4/9/2014,.</w:t>
      </w:r>
      <w:r>
        <w:rPr>
          <w:i/>
          <w:sz w:val="16"/>
          <w:szCs w:val="16"/>
          <w:lang w:val="en-US"/>
        </w:rPr>
        <w:t xml:space="preserve"> </w:t>
      </w:r>
      <w:r w:rsidR="003D5786" w:rsidRPr="00713795">
        <w:rPr>
          <w:sz w:val="16"/>
          <w:szCs w:val="16"/>
          <w:lang w:val="en-US"/>
        </w:rPr>
        <w:t>9</w:t>
      </w:r>
      <w:r w:rsidR="0004689E" w:rsidRPr="00713795">
        <w:rPr>
          <w:sz w:val="16"/>
          <w:szCs w:val="16"/>
          <w:lang w:val="en-US"/>
        </w:rPr>
        <w:t xml:space="preserve">. </w:t>
      </w:r>
      <w:r w:rsidR="00D81AB7" w:rsidRPr="00713795">
        <w:rPr>
          <w:bCs/>
          <w:sz w:val="16"/>
          <w:szCs w:val="16"/>
          <w:lang w:val="en-US"/>
        </w:rPr>
        <w:t>S.Chenu</w:t>
      </w:r>
      <w:r>
        <w:rPr>
          <w:bCs/>
          <w:sz w:val="16"/>
          <w:szCs w:val="16"/>
          <w:lang w:val="en-US"/>
        </w:rPr>
        <w:t xml:space="preserve"> et al. </w:t>
      </w:r>
      <w:r w:rsidR="00D81AB7" w:rsidRPr="00713795">
        <w:rPr>
          <w:b/>
          <w:i/>
          <w:sz w:val="16"/>
          <w:szCs w:val="16"/>
          <w:lang w:val="en-US"/>
        </w:rPr>
        <w:t>Advanced Optical Materials</w:t>
      </w:r>
      <w:r>
        <w:rPr>
          <w:sz w:val="16"/>
          <w:szCs w:val="16"/>
          <w:lang w:val="en-US"/>
        </w:rPr>
        <w:t xml:space="preserve">, 2 364 (2014). </w:t>
      </w:r>
      <w:r w:rsidR="003D5786" w:rsidRPr="00713795">
        <w:rPr>
          <w:sz w:val="16"/>
          <w:szCs w:val="16"/>
          <w:lang w:val="en-US"/>
        </w:rPr>
        <w:t>10</w:t>
      </w:r>
      <w:r w:rsidR="0004689E" w:rsidRPr="00713795">
        <w:rPr>
          <w:sz w:val="16"/>
          <w:szCs w:val="16"/>
          <w:lang w:val="en-US"/>
        </w:rPr>
        <w:t xml:space="preserve">. </w:t>
      </w:r>
      <w:r w:rsidR="0004689E" w:rsidRPr="00713795">
        <w:rPr>
          <w:bCs/>
          <w:sz w:val="16"/>
          <w:szCs w:val="16"/>
          <w:lang w:val="en-US"/>
        </w:rPr>
        <w:t>S. Chenu</w:t>
      </w:r>
      <w:r>
        <w:rPr>
          <w:bCs/>
          <w:sz w:val="16"/>
          <w:szCs w:val="16"/>
          <w:lang w:val="en-US"/>
        </w:rPr>
        <w:t xml:space="preserve"> et al. </w:t>
      </w:r>
      <w:r w:rsidRPr="00C31C60">
        <w:rPr>
          <w:b/>
          <w:i/>
          <w:sz w:val="16"/>
          <w:szCs w:val="16"/>
          <w:lang w:val="en-US"/>
        </w:rPr>
        <w:t>J. Mater. Chem. C</w:t>
      </w:r>
      <w:r w:rsidR="0004689E" w:rsidRPr="00713795">
        <w:rPr>
          <w:sz w:val="16"/>
          <w:szCs w:val="16"/>
          <w:lang w:val="en-US"/>
        </w:rPr>
        <w:t>, 2 10002-10010 (2014)</w:t>
      </w:r>
      <w:r>
        <w:rPr>
          <w:sz w:val="16"/>
          <w:szCs w:val="16"/>
          <w:lang w:val="en-US"/>
        </w:rPr>
        <w:t xml:space="preserve">. </w:t>
      </w:r>
      <w:r w:rsidR="003D5786" w:rsidRPr="00713795">
        <w:rPr>
          <w:sz w:val="16"/>
          <w:szCs w:val="16"/>
          <w:lang w:val="en-US"/>
        </w:rPr>
        <w:t>11</w:t>
      </w:r>
      <w:r w:rsidR="00D81AB7" w:rsidRPr="00713795">
        <w:rPr>
          <w:sz w:val="16"/>
          <w:szCs w:val="16"/>
          <w:lang w:val="en-US"/>
        </w:rPr>
        <w:t xml:space="preserve">. </w:t>
      </w:r>
      <w:r w:rsidR="00D81AB7" w:rsidRPr="00713795">
        <w:rPr>
          <w:bCs/>
          <w:sz w:val="16"/>
          <w:szCs w:val="16"/>
          <w:lang w:val="en-US"/>
        </w:rPr>
        <w:t>M.Allix</w:t>
      </w:r>
      <w:r>
        <w:rPr>
          <w:bCs/>
          <w:sz w:val="16"/>
          <w:szCs w:val="16"/>
          <w:lang w:val="en-US"/>
        </w:rPr>
        <w:t xml:space="preserve"> et al. </w:t>
      </w:r>
      <w:r w:rsidR="0053118E" w:rsidRPr="00713795">
        <w:rPr>
          <w:b/>
          <w:i/>
          <w:sz w:val="16"/>
          <w:szCs w:val="16"/>
          <w:lang w:val="en-US"/>
        </w:rPr>
        <w:t>Chemistry of Materials</w:t>
      </w:r>
      <w:r>
        <w:rPr>
          <w:sz w:val="16"/>
          <w:szCs w:val="16"/>
          <w:lang w:val="en-US"/>
        </w:rPr>
        <w:t>, 25 1600–1606 (2013).</w:t>
      </w:r>
    </w:p>
    <w:sectPr w:rsidR="002F3CB1" w:rsidRPr="00713795" w:rsidSect="006B1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alaSansLF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7E57"/>
    <w:multiLevelType w:val="hybridMultilevel"/>
    <w:tmpl w:val="196497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B1"/>
    <w:rsid w:val="00031C0E"/>
    <w:rsid w:val="0004689E"/>
    <w:rsid w:val="001C4C16"/>
    <w:rsid w:val="00276234"/>
    <w:rsid w:val="002F3CB1"/>
    <w:rsid w:val="00305EDE"/>
    <w:rsid w:val="00333738"/>
    <w:rsid w:val="003D5786"/>
    <w:rsid w:val="004C7B3C"/>
    <w:rsid w:val="0053118E"/>
    <w:rsid w:val="00591717"/>
    <w:rsid w:val="005A1F69"/>
    <w:rsid w:val="005C2075"/>
    <w:rsid w:val="00611B46"/>
    <w:rsid w:val="00680EFA"/>
    <w:rsid w:val="0069406D"/>
    <w:rsid w:val="006B105F"/>
    <w:rsid w:val="00713795"/>
    <w:rsid w:val="007434E2"/>
    <w:rsid w:val="0076070B"/>
    <w:rsid w:val="007F03DB"/>
    <w:rsid w:val="00840A73"/>
    <w:rsid w:val="008B6535"/>
    <w:rsid w:val="009D343B"/>
    <w:rsid w:val="009E5ABA"/>
    <w:rsid w:val="00A91D07"/>
    <w:rsid w:val="00AE4254"/>
    <w:rsid w:val="00B62563"/>
    <w:rsid w:val="00B822D7"/>
    <w:rsid w:val="00BE7559"/>
    <w:rsid w:val="00C31C60"/>
    <w:rsid w:val="00C32A41"/>
    <w:rsid w:val="00CA6F55"/>
    <w:rsid w:val="00CD265F"/>
    <w:rsid w:val="00D65510"/>
    <w:rsid w:val="00D77C84"/>
    <w:rsid w:val="00D81AB7"/>
    <w:rsid w:val="00D960AD"/>
    <w:rsid w:val="00DF373E"/>
    <w:rsid w:val="00E65E63"/>
    <w:rsid w:val="00E922EF"/>
    <w:rsid w:val="00ED66C9"/>
    <w:rsid w:val="00EE40CF"/>
    <w:rsid w:val="00FB4127"/>
    <w:rsid w:val="00FC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CB1"/>
    <w:rPr>
      <w:rFonts w:ascii="Tahoma" w:hAnsi="Tahoma" w:cs="Tahoma"/>
      <w:sz w:val="16"/>
      <w:szCs w:val="16"/>
    </w:rPr>
  </w:style>
  <w:style w:type="paragraph" w:customStyle="1" w:styleId="reference">
    <w:name w:val="reference"/>
    <w:basedOn w:val="Normal"/>
    <w:rsid w:val="00E9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semiHidden/>
    <w:rsid w:val="00AE425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E4254"/>
    <w:rPr>
      <w:rFonts w:ascii="Times New Roman" w:eastAsia="Times New Roman" w:hAnsi="Times New Roman" w:cs="Times New Roman"/>
      <w:szCs w:val="20"/>
      <w:lang w:val="en-GB" w:eastAsia="fr-FR"/>
    </w:rPr>
  </w:style>
  <w:style w:type="paragraph" w:customStyle="1" w:styleId="BCAuthorAddress">
    <w:name w:val="BC_Author_Address"/>
    <w:basedOn w:val="Normal"/>
    <w:next w:val="Normal"/>
    <w:rsid w:val="0076070B"/>
    <w:pPr>
      <w:spacing w:after="240" w:line="480" w:lineRule="auto"/>
      <w:jc w:val="center"/>
    </w:pPr>
    <w:rPr>
      <w:rFonts w:ascii="Times" w:eastAsia="Times New Roman" w:hAnsi="Times" w:cs="Times New Roman"/>
      <w:sz w:val="24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5C20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CB1"/>
    <w:rPr>
      <w:rFonts w:ascii="Tahoma" w:hAnsi="Tahoma" w:cs="Tahoma"/>
      <w:sz w:val="16"/>
      <w:szCs w:val="16"/>
    </w:rPr>
  </w:style>
  <w:style w:type="paragraph" w:customStyle="1" w:styleId="reference">
    <w:name w:val="reference"/>
    <w:basedOn w:val="Normal"/>
    <w:rsid w:val="00E9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semiHidden/>
    <w:rsid w:val="00AE425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E4254"/>
    <w:rPr>
      <w:rFonts w:ascii="Times New Roman" w:eastAsia="Times New Roman" w:hAnsi="Times New Roman" w:cs="Times New Roman"/>
      <w:szCs w:val="20"/>
      <w:lang w:val="en-GB" w:eastAsia="fr-FR"/>
    </w:rPr>
  </w:style>
  <w:style w:type="paragraph" w:customStyle="1" w:styleId="BCAuthorAddress">
    <w:name w:val="BC_Author_Address"/>
    <w:basedOn w:val="Normal"/>
    <w:next w:val="Normal"/>
    <w:rsid w:val="0076070B"/>
    <w:pPr>
      <w:spacing w:after="240" w:line="480" w:lineRule="auto"/>
      <w:jc w:val="center"/>
    </w:pPr>
    <w:rPr>
      <w:rFonts w:ascii="Times" w:eastAsia="Times New Roman" w:hAnsi="Times" w:cs="Times New Roman"/>
      <w:sz w:val="24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5C2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hieu.allix@cnrs-orleans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647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</dc:creator>
  <cp:lastModifiedBy>Arzac, Gisela</cp:lastModifiedBy>
  <cp:revision>2</cp:revision>
  <dcterms:created xsi:type="dcterms:W3CDTF">2017-09-04T11:01:00Z</dcterms:created>
  <dcterms:modified xsi:type="dcterms:W3CDTF">2017-09-04T11:01:00Z</dcterms:modified>
</cp:coreProperties>
</file>