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68" w:rsidRDefault="001D3468" w:rsidP="001D3468">
      <w:pPr>
        <w:snapToGrid w:val="0"/>
        <w:spacing w:line="300" w:lineRule="auto"/>
        <w:jc w:val="center"/>
        <w:rPr>
          <w:b/>
          <w:sz w:val="28"/>
          <w:szCs w:val="22"/>
        </w:rPr>
      </w:pPr>
      <w:bookmarkStart w:id="0" w:name="_GoBack"/>
      <w:bookmarkEnd w:id="0"/>
      <w:r w:rsidRPr="006C2AE4">
        <w:rPr>
          <w:b/>
          <w:sz w:val="28"/>
          <w:szCs w:val="22"/>
        </w:rPr>
        <w:t>Plasma</w:t>
      </w:r>
      <w:r w:rsidR="00B72ECC">
        <w:rPr>
          <w:b/>
          <w:sz w:val="28"/>
          <w:szCs w:val="22"/>
        </w:rPr>
        <w:t xml:space="preserve"> catalysis for</w:t>
      </w:r>
      <w:r>
        <w:rPr>
          <w:b/>
          <w:sz w:val="28"/>
          <w:szCs w:val="22"/>
        </w:rPr>
        <w:t xml:space="preserve"> </w:t>
      </w:r>
      <w:r w:rsidRPr="006C2AE4">
        <w:rPr>
          <w:b/>
          <w:sz w:val="28"/>
          <w:szCs w:val="22"/>
        </w:rPr>
        <w:t>CO</w:t>
      </w:r>
      <w:r w:rsidRPr="006C2AE4">
        <w:rPr>
          <w:b/>
          <w:sz w:val="28"/>
          <w:szCs w:val="22"/>
          <w:vertAlign w:val="subscript"/>
        </w:rPr>
        <w:t>2</w:t>
      </w:r>
      <w:r w:rsidRPr="006C2AE4">
        <w:rPr>
          <w:b/>
          <w:sz w:val="28"/>
          <w:szCs w:val="22"/>
        </w:rPr>
        <w:t xml:space="preserve"> conversion: </w:t>
      </w:r>
    </w:p>
    <w:p w:rsidR="001D3468" w:rsidRDefault="001D3468" w:rsidP="001D3468">
      <w:pPr>
        <w:snapToGrid w:val="0"/>
        <w:spacing w:line="300" w:lineRule="auto"/>
        <w:jc w:val="center"/>
        <w:rPr>
          <w:rFonts w:eastAsia="SimSun"/>
          <w:color w:val="000000"/>
          <w:lang w:val="en-GB" w:eastAsia="zh-CN"/>
        </w:rPr>
      </w:pPr>
      <w:r w:rsidRPr="006C2AE4">
        <w:rPr>
          <w:b/>
          <w:sz w:val="28"/>
          <w:szCs w:val="22"/>
        </w:rPr>
        <w:t xml:space="preserve">A better understanding of </w:t>
      </w:r>
      <w:r>
        <w:rPr>
          <w:b/>
          <w:sz w:val="28"/>
          <w:szCs w:val="22"/>
        </w:rPr>
        <w:t>the underlying mechanisms</w:t>
      </w:r>
    </w:p>
    <w:p w:rsidR="001D3468" w:rsidRPr="001D3468" w:rsidRDefault="001D3468" w:rsidP="001D3468">
      <w:pPr>
        <w:snapToGrid w:val="0"/>
        <w:spacing w:line="300" w:lineRule="auto"/>
        <w:jc w:val="center"/>
        <w:rPr>
          <w:rFonts w:eastAsia="MS PGothic"/>
          <w:color w:val="000000"/>
          <w:lang w:val="en-GB"/>
        </w:rPr>
      </w:pPr>
      <w:r w:rsidRPr="001D3468">
        <w:rPr>
          <w:rFonts w:eastAsia="SimSun"/>
          <w:color w:val="000000"/>
          <w:lang w:val="en-GB" w:eastAsia="zh-CN"/>
        </w:rPr>
        <w:t>Annemie Bogaerts</w:t>
      </w:r>
    </w:p>
    <w:p w:rsidR="001D3468" w:rsidRPr="006920E3" w:rsidRDefault="001D3468" w:rsidP="001D3468">
      <w:pPr>
        <w:snapToGrid w:val="0"/>
        <w:spacing w:line="300" w:lineRule="auto"/>
        <w:jc w:val="center"/>
        <w:rPr>
          <w:rFonts w:eastAsia="MS PGothic"/>
          <w:i/>
          <w:iCs/>
          <w:color w:val="000000"/>
          <w:sz w:val="20"/>
          <w:szCs w:val="20"/>
          <w:lang w:val="en-GB"/>
        </w:rPr>
      </w:pPr>
      <w:r>
        <w:rPr>
          <w:rFonts w:eastAsia="MS PGothic"/>
          <w:i/>
          <w:iCs/>
          <w:color w:val="000000"/>
          <w:sz w:val="20"/>
          <w:szCs w:val="20"/>
          <w:lang w:val="en-GB"/>
        </w:rPr>
        <w:t>Research group PLASMANT, University of Antwerp, Department of Chemistry, Belgium</w:t>
      </w:r>
    </w:p>
    <w:p w:rsidR="001D3468" w:rsidRPr="007639AE" w:rsidRDefault="00985E36" w:rsidP="001D3468">
      <w:pPr>
        <w:snapToGrid w:val="0"/>
        <w:spacing w:line="300" w:lineRule="auto"/>
        <w:jc w:val="center"/>
        <w:rPr>
          <w:rFonts w:eastAsia="SimSun"/>
          <w:bCs/>
          <w:i/>
          <w:iCs/>
          <w:sz w:val="20"/>
          <w:szCs w:val="20"/>
          <w:lang w:val="en-GB" w:eastAsia="zh-CN"/>
        </w:rPr>
      </w:pPr>
      <w:hyperlink r:id="rId5" w:history="1">
        <w:r w:rsidR="001D3468" w:rsidRPr="00423B8A">
          <w:rPr>
            <w:rStyle w:val="Hipervnculo"/>
            <w:rFonts w:eastAsia="SimSun"/>
            <w:bCs/>
            <w:i/>
            <w:iCs/>
            <w:sz w:val="20"/>
            <w:szCs w:val="20"/>
            <w:lang w:val="en-GB" w:eastAsia="zh-CN"/>
          </w:rPr>
          <w:t>annemie.bogaerts@uantwerpen.be</w:t>
        </w:r>
      </w:hyperlink>
    </w:p>
    <w:p w:rsidR="001D3468" w:rsidRPr="006920E3" w:rsidRDefault="001D3468" w:rsidP="001D3468">
      <w:pPr>
        <w:snapToGrid w:val="0"/>
        <w:spacing w:line="300" w:lineRule="auto"/>
        <w:rPr>
          <w:rFonts w:eastAsia="MS PGothic"/>
          <w:b/>
          <w:color w:val="000000"/>
          <w:sz w:val="22"/>
          <w:szCs w:val="22"/>
          <w:lang w:val="en-GB"/>
        </w:rPr>
      </w:pPr>
    </w:p>
    <w:p w:rsidR="006C7E1B" w:rsidRDefault="001D3468" w:rsidP="001D3468">
      <w:pPr>
        <w:snapToGrid w:val="0"/>
        <w:spacing w:line="300" w:lineRule="auto"/>
        <w:ind w:firstLine="240"/>
        <w:jc w:val="both"/>
        <w:rPr>
          <w:rFonts w:eastAsia="MS PGothic"/>
          <w:color w:val="000000"/>
          <w:sz w:val="22"/>
          <w:szCs w:val="22"/>
          <w:lang w:val="en-GB"/>
        </w:rPr>
      </w:pPr>
      <w:r>
        <w:rPr>
          <w:rFonts w:eastAsia="MS PGothic"/>
          <w:color w:val="000000"/>
          <w:sz w:val="22"/>
          <w:szCs w:val="22"/>
          <w:lang w:val="en-GB"/>
        </w:rPr>
        <w:t>Plasma</w:t>
      </w:r>
      <w:r w:rsidR="00B72ECC">
        <w:rPr>
          <w:rFonts w:eastAsia="MS PGothic"/>
          <w:color w:val="000000"/>
          <w:sz w:val="22"/>
          <w:szCs w:val="22"/>
          <w:lang w:val="en-GB"/>
        </w:rPr>
        <w:t xml:space="preserve"> catalysis </w:t>
      </w:r>
      <w:r>
        <w:rPr>
          <w:rFonts w:eastAsia="MS PGothic"/>
          <w:color w:val="000000"/>
          <w:sz w:val="22"/>
          <w:szCs w:val="22"/>
          <w:lang w:val="en-GB"/>
        </w:rPr>
        <w:t>is gaining increasing interest</w:t>
      </w:r>
      <w:r w:rsidR="00B72ECC">
        <w:rPr>
          <w:rFonts w:eastAsia="MS PGothic"/>
          <w:color w:val="000000"/>
          <w:sz w:val="22"/>
          <w:szCs w:val="22"/>
          <w:lang w:val="en-GB"/>
        </w:rPr>
        <w:t xml:space="preserve"> for CO</w:t>
      </w:r>
      <w:r w:rsidR="00B72ECC" w:rsidRPr="000B0916">
        <w:rPr>
          <w:rFonts w:eastAsia="MS PGothic"/>
          <w:color w:val="000000"/>
          <w:sz w:val="22"/>
          <w:szCs w:val="22"/>
          <w:vertAlign w:val="subscript"/>
          <w:lang w:val="en-GB"/>
        </w:rPr>
        <w:t>2</w:t>
      </w:r>
      <w:r w:rsidR="00B72ECC">
        <w:rPr>
          <w:rFonts w:eastAsia="MS PGothic"/>
          <w:color w:val="000000"/>
          <w:sz w:val="22"/>
          <w:szCs w:val="22"/>
          <w:lang w:val="en-GB"/>
        </w:rPr>
        <w:t xml:space="preserve"> conversion</w:t>
      </w:r>
      <w:r>
        <w:rPr>
          <w:rFonts w:eastAsia="MS PGothic"/>
          <w:color w:val="000000"/>
          <w:sz w:val="22"/>
          <w:szCs w:val="22"/>
          <w:lang w:val="en-GB"/>
        </w:rPr>
        <w:t xml:space="preserve">. To improve this application in terms of conversion, energy efficiency and product formation, a good insight in the underlying mechanisms is desirable. We try to obtain this by computer </w:t>
      </w:r>
      <w:r w:rsidR="006C7E1B">
        <w:rPr>
          <w:rFonts w:eastAsia="MS PGothic"/>
          <w:color w:val="000000"/>
          <w:sz w:val="22"/>
          <w:szCs w:val="22"/>
          <w:lang w:val="en-GB"/>
        </w:rPr>
        <w:t>modelling and experiments</w:t>
      </w:r>
      <w:r>
        <w:rPr>
          <w:rFonts w:eastAsia="MS PGothic"/>
          <w:color w:val="000000"/>
          <w:sz w:val="22"/>
          <w:szCs w:val="22"/>
          <w:lang w:val="en-GB"/>
        </w:rPr>
        <w:t xml:space="preserve">. </w:t>
      </w:r>
    </w:p>
    <w:p w:rsidR="006C7E1B" w:rsidRDefault="006C7E1B" w:rsidP="001D3468">
      <w:pPr>
        <w:snapToGrid w:val="0"/>
        <w:spacing w:line="300" w:lineRule="auto"/>
        <w:ind w:firstLine="240"/>
        <w:jc w:val="both"/>
        <w:rPr>
          <w:rFonts w:eastAsia="MS PGothic"/>
          <w:color w:val="000000"/>
          <w:sz w:val="22"/>
          <w:szCs w:val="22"/>
          <w:lang w:val="en-GB"/>
        </w:rPr>
      </w:pPr>
      <w:r>
        <w:rPr>
          <w:rFonts w:eastAsia="MS PGothic"/>
          <w:color w:val="000000"/>
          <w:sz w:val="22"/>
          <w:szCs w:val="22"/>
          <w:lang w:val="en-GB"/>
        </w:rPr>
        <w:t>Experimentally, we study two types of plasma reactors, i.e., dielectric barrier discharges (DBDs) in which we insert packing materials to investigate plasma catalysis, as well as a gliding arc (GA) discharge. In this talk, I will show some results for both, illustrating the superior energy efficiency of a GA reactor.</w:t>
      </w:r>
    </w:p>
    <w:p w:rsidR="001D3468" w:rsidRDefault="006C7E1B" w:rsidP="001D3468">
      <w:pPr>
        <w:snapToGrid w:val="0"/>
        <w:spacing w:line="300" w:lineRule="auto"/>
        <w:ind w:firstLine="240"/>
        <w:jc w:val="both"/>
        <w:rPr>
          <w:rFonts w:eastAsia="MS PGothic"/>
          <w:color w:val="000000"/>
          <w:sz w:val="22"/>
          <w:szCs w:val="22"/>
          <w:lang w:val="en-GB"/>
        </w:rPr>
      </w:pPr>
      <w:r>
        <w:rPr>
          <w:rFonts w:eastAsia="MS PGothic"/>
          <w:color w:val="000000"/>
          <w:sz w:val="22"/>
          <w:szCs w:val="22"/>
          <w:lang w:val="en-GB"/>
        </w:rPr>
        <w:t xml:space="preserve">In addition, we also simulate </w:t>
      </w:r>
      <w:r w:rsidR="001D3468">
        <w:rPr>
          <w:rFonts w:eastAsia="MS PGothic"/>
          <w:color w:val="000000"/>
          <w:sz w:val="22"/>
          <w:szCs w:val="22"/>
          <w:lang w:val="en-GB"/>
        </w:rPr>
        <w:t>the plasma chemistry</w:t>
      </w:r>
      <w:r w:rsidR="00B72ECC">
        <w:rPr>
          <w:rFonts w:eastAsia="MS PGothic"/>
          <w:color w:val="000000"/>
          <w:sz w:val="22"/>
          <w:szCs w:val="22"/>
          <w:lang w:val="en-GB"/>
        </w:rPr>
        <w:t xml:space="preserve"> </w:t>
      </w:r>
      <w:r>
        <w:rPr>
          <w:rFonts w:eastAsia="MS PGothic"/>
          <w:color w:val="000000"/>
          <w:sz w:val="22"/>
          <w:szCs w:val="22"/>
          <w:lang w:val="en-GB"/>
        </w:rPr>
        <w:t>as well as the optimum reactor design</w:t>
      </w:r>
      <w:r w:rsidR="001D3468">
        <w:rPr>
          <w:rFonts w:eastAsia="MS PGothic"/>
          <w:color w:val="000000"/>
          <w:sz w:val="22"/>
          <w:szCs w:val="22"/>
          <w:lang w:val="en-GB"/>
        </w:rPr>
        <w:t>, in the three types of plasma reactors most commonly used for CO</w:t>
      </w:r>
      <w:r w:rsidR="001D3468" w:rsidRPr="000B0916">
        <w:rPr>
          <w:rFonts w:eastAsia="MS PGothic"/>
          <w:color w:val="000000"/>
          <w:sz w:val="22"/>
          <w:szCs w:val="22"/>
          <w:vertAlign w:val="subscript"/>
          <w:lang w:val="en-GB"/>
        </w:rPr>
        <w:t>2</w:t>
      </w:r>
      <w:r w:rsidR="001D3468">
        <w:rPr>
          <w:rFonts w:eastAsia="MS PGothic"/>
          <w:color w:val="000000"/>
          <w:sz w:val="22"/>
          <w:szCs w:val="22"/>
          <w:lang w:val="en-GB"/>
        </w:rPr>
        <w:t xml:space="preserve"> conversion, i.e., </w:t>
      </w:r>
      <w:r>
        <w:rPr>
          <w:rFonts w:eastAsia="MS PGothic"/>
          <w:color w:val="000000"/>
          <w:sz w:val="22"/>
          <w:szCs w:val="22"/>
          <w:lang w:val="en-GB"/>
        </w:rPr>
        <w:t>DBDs, GA discharges and</w:t>
      </w:r>
      <w:r w:rsidR="001D3468">
        <w:rPr>
          <w:rFonts w:eastAsia="MS PGothic"/>
          <w:color w:val="000000"/>
          <w:sz w:val="22"/>
          <w:szCs w:val="22"/>
          <w:lang w:val="en-GB"/>
        </w:rPr>
        <w:t xml:space="preserve"> microwave (MW) plasmas. </w:t>
      </w:r>
      <w:r>
        <w:rPr>
          <w:rFonts w:eastAsia="MS PGothic"/>
          <w:color w:val="000000"/>
          <w:sz w:val="22"/>
          <w:szCs w:val="22"/>
          <w:lang w:val="en-GB"/>
        </w:rPr>
        <w:t xml:space="preserve">For the plasma reactor design, we use 2D or 3D computational fluid dynamics modelling. </w:t>
      </w:r>
      <w:r w:rsidR="001D3468">
        <w:rPr>
          <w:rFonts w:eastAsia="MS PGothic"/>
          <w:color w:val="000000"/>
          <w:sz w:val="22"/>
          <w:szCs w:val="22"/>
          <w:lang w:val="en-GB"/>
        </w:rPr>
        <w:t>For th</w:t>
      </w:r>
      <w:r>
        <w:rPr>
          <w:rFonts w:eastAsia="MS PGothic"/>
          <w:color w:val="000000"/>
          <w:sz w:val="22"/>
          <w:szCs w:val="22"/>
          <w:lang w:val="en-GB"/>
        </w:rPr>
        <w:t>e plasma chemistry</w:t>
      </w:r>
      <w:r w:rsidR="001D3468">
        <w:rPr>
          <w:rFonts w:eastAsia="MS PGothic"/>
          <w:color w:val="000000"/>
          <w:sz w:val="22"/>
          <w:szCs w:val="22"/>
          <w:lang w:val="en-GB"/>
        </w:rPr>
        <w:t>, we make use of zero-dimensional chemical kinetics model</w:t>
      </w:r>
      <w:r>
        <w:rPr>
          <w:rFonts w:eastAsia="MS PGothic"/>
          <w:color w:val="000000"/>
          <w:sz w:val="22"/>
          <w:szCs w:val="22"/>
          <w:lang w:val="en-GB"/>
        </w:rPr>
        <w:t>ing</w:t>
      </w:r>
      <w:r w:rsidR="001D3468">
        <w:rPr>
          <w:rFonts w:eastAsia="MS PGothic"/>
          <w:color w:val="000000"/>
          <w:sz w:val="22"/>
          <w:szCs w:val="22"/>
          <w:lang w:val="en-GB"/>
        </w:rPr>
        <w:t>, which solves continuity equations for the various plasma species, based on production and loss terms, as defined by the chemical reactions. Typically, up to 100 different species are considered, which react among each other in up to 1000 different chemical reactions.</w:t>
      </w:r>
    </w:p>
    <w:p w:rsidR="001D3468" w:rsidRDefault="001D3468" w:rsidP="001D3468">
      <w:pPr>
        <w:snapToGrid w:val="0"/>
        <w:spacing w:line="300" w:lineRule="auto"/>
        <w:ind w:firstLine="240"/>
        <w:jc w:val="both"/>
        <w:rPr>
          <w:rFonts w:eastAsia="MS PGothic"/>
          <w:color w:val="000000"/>
          <w:sz w:val="22"/>
          <w:szCs w:val="22"/>
          <w:lang w:val="en-GB"/>
        </w:rPr>
      </w:pPr>
      <w:r>
        <w:rPr>
          <w:rFonts w:eastAsia="MS PGothic"/>
          <w:color w:val="000000"/>
          <w:sz w:val="22"/>
          <w:szCs w:val="22"/>
          <w:lang w:val="en-GB"/>
        </w:rPr>
        <w:t>When studying the plasma chemistry in pure CO</w:t>
      </w:r>
      <w:r w:rsidRPr="000B0916">
        <w:rPr>
          <w:rFonts w:eastAsia="MS PGothic"/>
          <w:color w:val="000000"/>
          <w:sz w:val="22"/>
          <w:szCs w:val="22"/>
          <w:vertAlign w:val="subscript"/>
          <w:lang w:val="en-GB"/>
        </w:rPr>
        <w:t>2</w:t>
      </w:r>
      <w:r>
        <w:rPr>
          <w:rFonts w:eastAsia="MS PGothic"/>
          <w:color w:val="000000"/>
          <w:sz w:val="22"/>
          <w:szCs w:val="22"/>
          <w:lang w:val="en-GB"/>
        </w:rPr>
        <w:t xml:space="preserve">, we focus especially on the </w:t>
      </w:r>
      <w:r w:rsidRPr="00D90087">
        <w:rPr>
          <w:noProof/>
          <w:sz w:val="22"/>
          <w:szCs w:val="22"/>
        </w:rPr>
        <w:t>the role of vibrationally excited CO</w:t>
      </w:r>
      <w:r w:rsidRPr="00D90087">
        <w:rPr>
          <w:noProof/>
          <w:sz w:val="22"/>
          <w:szCs w:val="22"/>
          <w:vertAlign w:val="subscript"/>
        </w:rPr>
        <w:t>2</w:t>
      </w:r>
      <w:r w:rsidRPr="00D90087">
        <w:rPr>
          <w:noProof/>
          <w:sz w:val="22"/>
          <w:szCs w:val="22"/>
        </w:rPr>
        <w:t xml:space="preserve"> levels, which are the key species for enhanced energy efficiency</w:t>
      </w:r>
      <w:r>
        <w:rPr>
          <w:noProof/>
          <w:sz w:val="22"/>
          <w:szCs w:val="22"/>
        </w:rPr>
        <w:t xml:space="preserve"> of the CO</w:t>
      </w:r>
      <w:r w:rsidRPr="000B0916">
        <w:rPr>
          <w:noProof/>
          <w:sz w:val="22"/>
          <w:szCs w:val="22"/>
          <w:vertAlign w:val="subscript"/>
        </w:rPr>
        <w:t>2</w:t>
      </w:r>
      <w:r>
        <w:rPr>
          <w:noProof/>
          <w:sz w:val="22"/>
          <w:szCs w:val="22"/>
        </w:rPr>
        <w:t xml:space="preserve"> conversion. Our model reveals the relative importance of various processes, responsible for the CO</w:t>
      </w:r>
      <w:r w:rsidRPr="00CD43C9">
        <w:rPr>
          <w:noProof/>
          <w:sz w:val="22"/>
          <w:szCs w:val="22"/>
          <w:vertAlign w:val="subscript"/>
        </w:rPr>
        <w:t>2</w:t>
      </w:r>
      <w:r>
        <w:rPr>
          <w:noProof/>
          <w:sz w:val="22"/>
          <w:szCs w:val="22"/>
        </w:rPr>
        <w:t xml:space="preserve"> conversion, and this is linked to the energy efficiency in the various types of plasma reactors.</w:t>
      </w:r>
    </w:p>
    <w:p w:rsidR="001D3468" w:rsidRPr="00CD43C9" w:rsidRDefault="001D3468" w:rsidP="001D3468">
      <w:pPr>
        <w:snapToGrid w:val="0"/>
        <w:spacing w:line="300" w:lineRule="auto"/>
        <w:ind w:firstLine="240"/>
        <w:jc w:val="both"/>
        <w:rPr>
          <w:rFonts w:eastAsia="MS PGothic"/>
          <w:color w:val="000000"/>
          <w:sz w:val="22"/>
          <w:szCs w:val="22"/>
          <w:lang w:val="en-GB"/>
        </w:rPr>
      </w:pPr>
      <w:r>
        <w:rPr>
          <w:rFonts w:eastAsia="MS PGothic"/>
          <w:color w:val="000000"/>
          <w:sz w:val="22"/>
          <w:szCs w:val="22"/>
          <w:lang w:val="en-GB"/>
        </w:rPr>
        <w:t>We have also studied the plasma chemistry in CO</w:t>
      </w:r>
      <w:r w:rsidRPr="00FE1315">
        <w:rPr>
          <w:rFonts w:eastAsia="MS PGothic"/>
          <w:color w:val="000000"/>
          <w:sz w:val="22"/>
          <w:szCs w:val="22"/>
          <w:vertAlign w:val="subscript"/>
          <w:lang w:val="en-GB"/>
        </w:rPr>
        <w:t>2</w:t>
      </w:r>
      <w:r>
        <w:rPr>
          <w:rFonts w:eastAsia="MS PGothic"/>
          <w:color w:val="000000"/>
          <w:sz w:val="22"/>
          <w:szCs w:val="22"/>
          <w:lang w:val="en-GB"/>
        </w:rPr>
        <w:t>/CH</w:t>
      </w:r>
      <w:r w:rsidRPr="00FE1315">
        <w:rPr>
          <w:rFonts w:eastAsia="MS PGothic"/>
          <w:color w:val="000000"/>
          <w:sz w:val="22"/>
          <w:szCs w:val="22"/>
          <w:vertAlign w:val="subscript"/>
          <w:lang w:val="en-GB"/>
        </w:rPr>
        <w:t>4</w:t>
      </w:r>
      <w:r>
        <w:rPr>
          <w:rFonts w:eastAsia="MS PGothic"/>
          <w:color w:val="000000"/>
          <w:sz w:val="22"/>
          <w:szCs w:val="22"/>
          <w:lang w:val="en-GB"/>
        </w:rPr>
        <w:t xml:space="preserve">  and in CO</w:t>
      </w:r>
      <w:r w:rsidRPr="00FE1315">
        <w:rPr>
          <w:rFonts w:eastAsia="MS PGothic"/>
          <w:color w:val="000000"/>
          <w:sz w:val="22"/>
          <w:szCs w:val="22"/>
          <w:vertAlign w:val="subscript"/>
          <w:lang w:val="en-GB"/>
        </w:rPr>
        <w:t>2</w:t>
      </w:r>
      <w:r>
        <w:rPr>
          <w:rFonts w:eastAsia="MS PGothic"/>
          <w:color w:val="000000"/>
          <w:sz w:val="22"/>
          <w:szCs w:val="22"/>
          <w:lang w:val="en-GB"/>
        </w:rPr>
        <w:t>/H</w:t>
      </w:r>
      <w:r w:rsidRPr="00FE1315">
        <w:rPr>
          <w:rFonts w:eastAsia="MS PGothic"/>
          <w:color w:val="000000"/>
          <w:sz w:val="22"/>
          <w:szCs w:val="22"/>
          <w:vertAlign w:val="subscript"/>
          <w:lang w:val="en-GB"/>
        </w:rPr>
        <w:t>2</w:t>
      </w:r>
      <w:r w:rsidR="006C7E1B">
        <w:rPr>
          <w:rFonts w:eastAsia="MS PGothic"/>
          <w:color w:val="000000"/>
          <w:sz w:val="22"/>
          <w:szCs w:val="22"/>
          <w:lang w:val="en-GB"/>
        </w:rPr>
        <w:t>O</w:t>
      </w:r>
      <w:r>
        <w:rPr>
          <w:rFonts w:eastAsia="MS PGothic"/>
          <w:color w:val="000000"/>
          <w:sz w:val="22"/>
          <w:szCs w:val="22"/>
          <w:lang w:val="en-GB"/>
        </w:rPr>
        <w:t xml:space="preserve"> mixtures, </w:t>
      </w:r>
      <w:r w:rsidR="00B72ECC">
        <w:rPr>
          <w:rFonts w:eastAsia="MS PGothic"/>
          <w:color w:val="000000"/>
          <w:sz w:val="22"/>
          <w:szCs w:val="22"/>
          <w:lang w:val="en-GB"/>
        </w:rPr>
        <w:t>to produce</w:t>
      </w:r>
      <w:r>
        <w:rPr>
          <w:rFonts w:eastAsia="MS PGothic"/>
          <w:color w:val="000000"/>
          <w:sz w:val="22"/>
          <w:szCs w:val="22"/>
          <w:lang w:val="en-GB"/>
        </w:rPr>
        <w:t xml:space="preserve"> value-added chemicals. The main products formed are a mixture of H</w:t>
      </w:r>
      <w:r w:rsidRPr="00FE1315">
        <w:rPr>
          <w:rFonts w:eastAsia="MS PGothic"/>
          <w:color w:val="000000"/>
          <w:sz w:val="22"/>
          <w:szCs w:val="22"/>
          <w:vertAlign w:val="subscript"/>
          <w:lang w:val="en-GB"/>
        </w:rPr>
        <w:t>2</w:t>
      </w:r>
      <w:r>
        <w:rPr>
          <w:rFonts w:eastAsia="MS PGothic"/>
          <w:color w:val="000000"/>
          <w:sz w:val="22"/>
          <w:szCs w:val="22"/>
          <w:lang w:val="en-GB"/>
        </w:rPr>
        <w:t xml:space="preserve"> and CO, or syngas, with a tuneable H</w:t>
      </w:r>
      <w:r w:rsidRPr="00FE1315">
        <w:rPr>
          <w:rFonts w:eastAsia="MS PGothic"/>
          <w:color w:val="000000"/>
          <w:sz w:val="22"/>
          <w:szCs w:val="22"/>
          <w:vertAlign w:val="subscript"/>
          <w:lang w:val="en-GB"/>
        </w:rPr>
        <w:t>2</w:t>
      </w:r>
      <w:r>
        <w:rPr>
          <w:rFonts w:eastAsia="MS PGothic"/>
          <w:color w:val="000000"/>
          <w:sz w:val="22"/>
          <w:szCs w:val="22"/>
          <w:lang w:val="en-GB"/>
        </w:rPr>
        <w:t>/CO ratio depending on the gas mixing ratio. The production of oxygenated compounds, such as methanol, formaldehyde, etc, is very limited</w:t>
      </w:r>
      <w:r w:rsidR="006C7E1B">
        <w:rPr>
          <w:rFonts w:eastAsia="MS PGothic"/>
          <w:color w:val="000000"/>
          <w:sz w:val="22"/>
          <w:szCs w:val="22"/>
          <w:lang w:val="en-GB"/>
        </w:rPr>
        <w:t>, showing the need for combining with a catalyst</w:t>
      </w:r>
      <w:r>
        <w:rPr>
          <w:rFonts w:eastAsia="MS PGothic"/>
          <w:color w:val="000000"/>
          <w:sz w:val="22"/>
          <w:szCs w:val="22"/>
          <w:lang w:val="en-GB"/>
        </w:rPr>
        <w:t xml:space="preserve">. </w:t>
      </w:r>
      <w:r w:rsidRPr="00CD43C9">
        <w:rPr>
          <w:rFonts w:eastAsia="MS PGothic"/>
          <w:color w:val="000000"/>
          <w:sz w:val="22"/>
          <w:szCs w:val="22"/>
          <w:lang w:val="en-GB"/>
        </w:rPr>
        <w:t xml:space="preserve">A detailed </w:t>
      </w:r>
      <w:r w:rsidRPr="00CD43C9">
        <w:rPr>
          <w:sz w:val="22"/>
          <w:szCs w:val="22"/>
        </w:rPr>
        <w:t>chemical kinetics analysis allows to elucidate the different pathways leading to the observed results, and to propose solutions on how to further improve the formation of value-added products.</w:t>
      </w:r>
    </w:p>
    <w:p w:rsidR="001D3468" w:rsidRDefault="00B72ECC" w:rsidP="001D3468">
      <w:pPr>
        <w:snapToGrid w:val="0"/>
        <w:spacing w:line="300" w:lineRule="auto"/>
        <w:ind w:firstLine="240"/>
        <w:jc w:val="both"/>
        <w:rPr>
          <w:sz w:val="22"/>
          <w:szCs w:val="22"/>
        </w:rPr>
      </w:pPr>
      <w:r>
        <w:rPr>
          <w:rFonts w:eastAsia="MS PGothic"/>
          <w:color w:val="000000"/>
          <w:sz w:val="22"/>
          <w:szCs w:val="22"/>
          <w:lang w:val="en-GB"/>
        </w:rPr>
        <w:t>Likewise</w:t>
      </w:r>
      <w:r w:rsidR="001D3468">
        <w:rPr>
          <w:rFonts w:eastAsia="MS PGothic"/>
          <w:color w:val="000000"/>
          <w:sz w:val="22"/>
          <w:szCs w:val="22"/>
          <w:lang w:val="en-GB"/>
        </w:rPr>
        <w:t>, we also studied the plasma chemistry in a CO</w:t>
      </w:r>
      <w:r w:rsidR="001D3468" w:rsidRPr="000B0916">
        <w:rPr>
          <w:rFonts w:eastAsia="MS PGothic"/>
          <w:color w:val="000000"/>
          <w:sz w:val="22"/>
          <w:szCs w:val="22"/>
          <w:vertAlign w:val="subscript"/>
          <w:lang w:val="en-GB"/>
        </w:rPr>
        <w:t>2</w:t>
      </w:r>
      <w:r w:rsidR="001D3468">
        <w:rPr>
          <w:rFonts w:eastAsia="MS PGothic"/>
          <w:color w:val="000000"/>
          <w:sz w:val="22"/>
          <w:szCs w:val="22"/>
          <w:lang w:val="en-GB"/>
        </w:rPr>
        <w:t>/N</w:t>
      </w:r>
      <w:r w:rsidR="001D3468" w:rsidRPr="000B0916">
        <w:rPr>
          <w:rFonts w:eastAsia="MS PGothic"/>
          <w:color w:val="000000"/>
          <w:sz w:val="22"/>
          <w:szCs w:val="22"/>
          <w:vertAlign w:val="subscript"/>
          <w:lang w:val="en-GB"/>
        </w:rPr>
        <w:t>2</w:t>
      </w:r>
      <w:r w:rsidR="001D3468">
        <w:rPr>
          <w:rFonts w:eastAsia="MS PGothic"/>
          <w:color w:val="000000"/>
          <w:sz w:val="22"/>
          <w:szCs w:val="22"/>
          <w:lang w:val="en-GB"/>
        </w:rPr>
        <w:t xml:space="preserve"> mixture, to investigate the effect of this important impurity in effluent gases on the CO</w:t>
      </w:r>
      <w:r w:rsidR="001D3468" w:rsidRPr="000B0916">
        <w:rPr>
          <w:rFonts w:eastAsia="MS PGothic"/>
          <w:color w:val="000000"/>
          <w:sz w:val="22"/>
          <w:szCs w:val="22"/>
          <w:vertAlign w:val="subscript"/>
          <w:lang w:val="en-GB"/>
        </w:rPr>
        <w:t>2</w:t>
      </w:r>
      <w:r w:rsidR="001D3468">
        <w:rPr>
          <w:rFonts w:eastAsia="MS PGothic"/>
          <w:color w:val="000000"/>
          <w:sz w:val="22"/>
          <w:szCs w:val="22"/>
          <w:lang w:val="en-GB"/>
        </w:rPr>
        <w:t xml:space="preserve"> conversion, energy efficiency and product formation.</w:t>
      </w:r>
      <w:r>
        <w:rPr>
          <w:rFonts w:eastAsia="MS PGothic"/>
          <w:color w:val="000000"/>
          <w:sz w:val="22"/>
          <w:szCs w:val="22"/>
          <w:lang w:val="en-GB"/>
        </w:rPr>
        <w:t xml:space="preserve"> S</w:t>
      </w:r>
      <w:r w:rsidR="001D3468" w:rsidRPr="00D90087">
        <w:rPr>
          <w:sz w:val="22"/>
          <w:szCs w:val="22"/>
        </w:rPr>
        <w:t>everal harmful compounds, i.e., N</w:t>
      </w:r>
      <w:r w:rsidR="001D3468" w:rsidRPr="00D90087">
        <w:rPr>
          <w:sz w:val="22"/>
          <w:szCs w:val="22"/>
          <w:vertAlign w:val="subscript"/>
        </w:rPr>
        <w:t>2</w:t>
      </w:r>
      <w:r w:rsidR="001D3468" w:rsidRPr="00D90087">
        <w:rPr>
          <w:sz w:val="22"/>
          <w:szCs w:val="22"/>
        </w:rPr>
        <w:t>O and NO</w:t>
      </w:r>
      <w:r w:rsidR="001D3468" w:rsidRPr="00D90087">
        <w:rPr>
          <w:sz w:val="22"/>
          <w:szCs w:val="22"/>
          <w:vertAlign w:val="subscript"/>
        </w:rPr>
        <w:t>x</w:t>
      </w:r>
      <w:r w:rsidR="001D3468" w:rsidRPr="00D90087">
        <w:rPr>
          <w:sz w:val="22"/>
          <w:szCs w:val="22"/>
        </w:rPr>
        <w:t xml:space="preserve"> compounds, are produced in the range of several 100 ppm. The reaction pathways for the formation of these compounds are </w:t>
      </w:r>
      <w:r w:rsidR="001D3468">
        <w:rPr>
          <w:sz w:val="22"/>
          <w:szCs w:val="22"/>
        </w:rPr>
        <w:t xml:space="preserve">again </w:t>
      </w:r>
      <w:r w:rsidR="001D3468" w:rsidRPr="00D90087">
        <w:rPr>
          <w:sz w:val="22"/>
          <w:szCs w:val="22"/>
        </w:rPr>
        <w:t>explained based on a kinetic analysis, which allows proposing solutions on how to prevent the formation of these harmful compounds.</w:t>
      </w:r>
    </w:p>
    <w:p w:rsidR="00B72ECC" w:rsidRPr="00D90087" w:rsidRDefault="00B72ECC" w:rsidP="001D3468">
      <w:pPr>
        <w:snapToGrid w:val="0"/>
        <w:spacing w:line="300" w:lineRule="auto"/>
        <w:ind w:firstLine="240"/>
        <w:jc w:val="both"/>
        <w:rPr>
          <w:rFonts w:eastAsia="SimSun"/>
          <w:color w:val="000000"/>
          <w:sz w:val="22"/>
          <w:szCs w:val="22"/>
          <w:lang w:val="en-GB" w:eastAsia="zh-CN"/>
        </w:rPr>
      </w:pPr>
      <w:r>
        <w:rPr>
          <w:sz w:val="22"/>
          <w:szCs w:val="22"/>
        </w:rPr>
        <w:t>Finally, we also study plasma-catalyst interactions, by experiments, atomic scale simulations (density functional theory), as well as fluid and particle-in-cell – Monte Carlo simulations. The latter is used to investigate whether plasma can be formed inside catalyst pores.</w:t>
      </w:r>
    </w:p>
    <w:sectPr w:rsidR="00B72ECC" w:rsidRPr="00D90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8"/>
    <w:rsid w:val="001D3468"/>
    <w:rsid w:val="006C7E1B"/>
    <w:rsid w:val="00937E3E"/>
    <w:rsid w:val="00985E36"/>
    <w:rsid w:val="00B72ECC"/>
    <w:rsid w:val="00BD6744"/>
    <w:rsid w:val="00F007DE"/>
    <w:rsid w:val="00FF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68"/>
    <w:pPr>
      <w:spacing w:after="0" w:line="240" w:lineRule="auto"/>
    </w:pPr>
    <w:rPr>
      <w:rFonts w:ascii="Times New Roman" w:eastAsia="MS Mincho" w:hAnsi="Times New Roman" w:cs="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3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68"/>
    <w:pPr>
      <w:spacing w:after="0" w:line="240" w:lineRule="auto"/>
    </w:pPr>
    <w:rPr>
      <w:rFonts w:ascii="Times New Roman" w:eastAsia="MS Mincho" w:hAnsi="Times New Roman" w:cs="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3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ie.bogaerts@uantwerp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 Bogaerts</dc:creator>
  <cp:lastModifiedBy>Arzac, Gisela</cp:lastModifiedBy>
  <cp:revision>2</cp:revision>
  <dcterms:created xsi:type="dcterms:W3CDTF">2018-01-18T12:53:00Z</dcterms:created>
  <dcterms:modified xsi:type="dcterms:W3CDTF">2018-01-18T12:53:00Z</dcterms:modified>
</cp:coreProperties>
</file>